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64347C" w:rsidRPr="005341BF" w:rsidRDefault="0064347C" w:rsidP="0064347C">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64347C" w:rsidRPr="005341BF" w:rsidRDefault="0064347C" w:rsidP="0064347C">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03"/>
        <w:gridCol w:w="2601"/>
        <w:gridCol w:w="206"/>
        <w:gridCol w:w="1144"/>
        <w:gridCol w:w="695"/>
        <w:gridCol w:w="1379"/>
        <w:gridCol w:w="1410"/>
        <w:gridCol w:w="810"/>
      </w:tblGrid>
      <w:tr w:rsidR="00DD40DF" w:rsidRPr="00DD40DF" w:rsidTr="005E7930">
        <w:tc>
          <w:tcPr>
            <w:tcW w:w="7532"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5E7930" w:rsidRDefault="007B1306" w:rsidP="00C44E14">
            <w:pPr>
              <w:spacing w:line="240" w:lineRule="auto"/>
            </w:pPr>
            <w:r>
              <w:t xml:space="preserve">Typography speaks louder than words.  Designers need to match their font </w:t>
            </w:r>
            <w:proofErr w:type="gramStart"/>
            <w:r>
              <w:t>style  in</w:t>
            </w:r>
            <w:proofErr w:type="gramEnd"/>
            <w:r>
              <w:t xml:space="preserve"> their document to their audience.</w:t>
            </w:r>
          </w:p>
        </w:tc>
        <w:tc>
          <w:tcPr>
            <w:tcW w:w="5644" w:type="dxa"/>
            <w:gridSpan w:val="6"/>
          </w:tcPr>
          <w:p w:rsidR="00321BC1" w:rsidRPr="00C44E14" w:rsidRDefault="00DD40DF" w:rsidP="00C44E14">
            <w:pPr>
              <w:spacing w:line="240" w:lineRule="auto"/>
              <w:rPr>
                <w:b/>
              </w:rPr>
            </w:pPr>
            <w:r w:rsidRPr="00C44E14">
              <w:rPr>
                <w:b/>
              </w:rPr>
              <w:t>SUGGESTED UNIT TIMELINE:</w:t>
            </w:r>
            <w:r w:rsidR="00216B34">
              <w:rPr>
                <w:b/>
              </w:rPr>
              <w:t xml:space="preserve">  2 weeks</w:t>
            </w:r>
          </w:p>
          <w:p w:rsidR="00DD40DF" w:rsidRPr="00C44E14" w:rsidRDefault="00DD40DF" w:rsidP="00175491">
            <w:pPr>
              <w:spacing w:line="240" w:lineRule="auto"/>
              <w:rPr>
                <w:b/>
              </w:rPr>
            </w:pPr>
            <w:r w:rsidRPr="00C44E14">
              <w:rPr>
                <w:b/>
              </w:rPr>
              <w:t xml:space="preserve">CLASS PERIOD (min.): </w:t>
            </w:r>
            <w:r w:rsidR="00216B34">
              <w:rPr>
                <w:b/>
              </w:rPr>
              <w:t xml:space="preserve"> 55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Default="004A2886" w:rsidP="004A2886">
            <w:pPr>
              <w:pStyle w:val="ListParagraph"/>
              <w:numPr>
                <w:ilvl w:val="0"/>
                <w:numId w:val="19"/>
              </w:numPr>
              <w:spacing w:after="0" w:line="240" w:lineRule="auto"/>
              <w:rPr>
                <w:b/>
              </w:rPr>
            </w:pPr>
            <w:r>
              <w:rPr>
                <w:b/>
              </w:rPr>
              <w:t>If you were a font, what font would you be?</w:t>
            </w:r>
          </w:p>
          <w:p w:rsidR="004A2886" w:rsidRPr="004A2886" w:rsidRDefault="004A2886" w:rsidP="004A2886">
            <w:pPr>
              <w:pStyle w:val="ListParagraph"/>
              <w:numPr>
                <w:ilvl w:val="0"/>
                <w:numId w:val="19"/>
              </w:numPr>
              <w:spacing w:after="0" w:line="240" w:lineRule="auto"/>
              <w:rPr>
                <w:b/>
              </w:rPr>
            </w:pPr>
            <w:r>
              <w:rPr>
                <w:b/>
              </w:rPr>
              <w:t xml:space="preserve">What is the cost associated with errors in </w:t>
            </w:r>
            <w:r w:rsidR="00AF1577">
              <w:rPr>
                <w:b/>
              </w:rPr>
              <w:t>design or text</w:t>
            </w:r>
            <w:r>
              <w:rPr>
                <w:b/>
              </w:rPr>
              <w:t>?</w:t>
            </w:r>
            <w:r w:rsidR="00AF1577">
              <w:rPr>
                <w:b/>
              </w:rPr>
              <w:t xml:space="preserve">   </w:t>
            </w:r>
            <w:r>
              <w:rPr>
                <w:b/>
              </w:rPr>
              <w:t xml:space="preserve"> </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5E7930">
        <w:trPr>
          <w:trHeight w:val="467"/>
        </w:trPr>
        <w:tc>
          <w:tcPr>
            <w:tcW w:w="4931"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80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38" w:type="dxa"/>
            <w:gridSpan w:val="5"/>
          </w:tcPr>
          <w:p w:rsidR="008322A8" w:rsidRPr="00C44E14" w:rsidRDefault="008322A8" w:rsidP="00C44E14">
            <w:pPr>
              <w:spacing w:line="240" w:lineRule="auto"/>
              <w:jc w:val="center"/>
              <w:rPr>
                <w:b/>
              </w:rPr>
            </w:pPr>
            <w:r w:rsidRPr="00C44E14">
              <w:rPr>
                <w:b/>
              </w:rPr>
              <w:t>CROSSWALK TO STANDARDS</w:t>
            </w:r>
          </w:p>
        </w:tc>
      </w:tr>
      <w:tr w:rsidR="00321BC1" w:rsidTr="005E7930">
        <w:trPr>
          <w:trHeight w:val="466"/>
        </w:trPr>
        <w:tc>
          <w:tcPr>
            <w:tcW w:w="4931" w:type="dxa"/>
            <w:gridSpan w:val="2"/>
            <w:vMerge/>
          </w:tcPr>
          <w:p w:rsidR="00321BC1" w:rsidRPr="00C44E14" w:rsidRDefault="00321BC1" w:rsidP="00C44E14">
            <w:pPr>
              <w:spacing w:line="240" w:lineRule="auto"/>
              <w:jc w:val="center"/>
              <w:rPr>
                <w:b/>
              </w:rPr>
            </w:pPr>
          </w:p>
        </w:tc>
        <w:tc>
          <w:tcPr>
            <w:tcW w:w="2807"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5" w:type="dxa"/>
            <w:shd w:val="clear" w:color="auto" w:fill="auto"/>
          </w:tcPr>
          <w:p w:rsidR="00321BC1" w:rsidRPr="00C44E14" w:rsidRDefault="00321BC1" w:rsidP="00C44E14">
            <w:pPr>
              <w:spacing w:line="240" w:lineRule="auto"/>
              <w:jc w:val="center"/>
              <w:rPr>
                <w:b/>
              </w:rPr>
            </w:pPr>
            <w:r w:rsidRPr="00C44E14">
              <w:rPr>
                <w:b/>
              </w:rPr>
              <w:t>PS</w:t>
            </w:r>
          </w:p>
        </w:tc>
        <w:tc>
          <w:tcPr>
            <w:tcW w:w="1379" w:type="dxa"/>
          </w:tcPr>
          <w:p w:rsidR="00321BC1" w:rsidRPr="00C44E14" w:rsidRDefault="00321BC1" w:rsidP="00C44E14">
            <w:pPr>
              <w:spacing w:line="240" w:lineRule="auto"/>
              <w:jc w:val="center"/>
              <w:rPr>
                <w:b/>
              </w:rPr>
            </w:pPr>
            <w:r w:rsidRPr="00C44E14">
              <w:rPr>
                <w:b/>
              </w:rPr>
              <w:t>CCSS</w:t>
            </w:r>
          </w:p>
        </w:tc>
        <w:tc>
          <w:tcPr>
            <w:tcW w:w="1410" w:type="dxa"/>
          </w:tcPr>
          <w:p w:rsidR="003C7D48" w:rsidRPr="00C44E14" w:rsidRDefault="003C7D48" w:rsidP="003C7D48">
            <w:pPr>
              <w:spacing w:line="240" w:lineRule="auto"/>
              <w:jc w:val="center"/>
              <w:rPr>
                <w:b/>
              </w:rPr>
            </w:pPr>
            <w:r>
              <w:rPr>
                <w:b/>
              </w:rPr>
              <w:t>NBEA</w:t>
            </w:r>
          </w:p>
        </w:tc>
        <w:tc>
          <w:tcPr>
            <w:tcW w:w="810" w:type="dxa"/>
          </w:tcPr>
          <w:p w:rsidR="00321BC1" w:rsidRPr="00C44E14" w:rsidRDefault="00321BC1" w:rsidP="00C44E14">
            <w:pPr>
              <w:spacing w:line="240" w:lineRule="auto"/>
              <w:jc w:val="center"/>
              <w:rPr>
                <w:b/>
              </w:rPr>
            </w:pPr>
            <w:r w:rsidRPr="00C44E14">
              <w:rPr>
                <w:b/>
              </w:rPr>
              <w:t>DOK</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Create a text frame</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0E00AF" w:rsidRDefault="00050B3B" w:rsidP="00050B3B">
            <w:pPr>
              <w:tabs>
                <w:tab w:val="left" w:pos="443"/>
              </w:tabs>
              <w:spacing w:after="0"/>
              <w:jc w:val="center"/>
              <w:rPr>
                <w:rFonts w:ascii="Cambria" w:hAnsi="Cambria"/>
                <w:sz w:val="20"/>
                <w:szCs w:val="20"/>
              </w:rPr>
            </w:pPr>
          </w:p>
        </w:tc>
        <w:tc>
          <w:tcPr>
            <w:tcW w:w="1410" w:type="dxa"/>
            <w:shd w:val="clear" w:color="auto" w:fill="auto"/>
          </w:tcPr>
          <w:p w:rsidR="00050B3B" w:rsidRPr="000E00AF" w:rsidRDefault="00050B3B"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Compose text (e.g., headings, captions, body text)</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0E00AF" w:rsidRDefault="005E7930" w:rsidP="006D1936">
            <w:pPr>
              <w:tabs>
                <w:tab w:val="left" w:pos="443"/>
              </w:tabs>
              <w:spacing w:after="0"/>
              <w:jc w:val="center"/>
              <w:rPr>
                <w:rFonts w:ascii="Cambria" w:hAnsi="Cambria"/>
                <w:sz w:val="20"/>
                <w:szCs w:val="20"/>
              </w:rPr>
            </w:pPr>
            <w:r>
              <w:rPr>
                <w:rFonts w:ascii="Cambria" w:hAnsi="Cambria"/>
                <w:sz w:val="20"/>
                <w:szCs w:val="20"/>
              </w:rPr>
              <w:t>W.</w:t>
            </w:r>
            <w:r w:rsidR="00050B3B">
              <w:rPr>
                <w:rFonts w:ascii="Cambria" w:hAnsi="Cambria"/>
                <w:sz w:val="20"/>
                <w:szCs w:val="20"/>
              </w:rPr>
              <w:t>9-12.</w:t>
            </w:r>
            <w:r w:rsidR="006D1936">
              <w:rPr>
                <w:rFonts w:ascii="Cambria" w:hAnsi="Cambria"/>
                <w:sz w:val="20"/>
                <w:szCs w:val="20"/>
              </w:rPr>
              <w:t>2</w:t>
            </w:r>
            <w:r w:rsidR="00050B3B" w:rsidRPr="000E00AF">
              <w:rPr>
                <w:rFonts w:ascii="Cambria" w:hAnsi="Cambria"/>
                <w:sz w:val="20"/>
                <w:szCs w:val="20"/>
              </w:rPr>
              <w:t>a</w:t>
            </w:r>
          </w:p>
        </w:tc>
        <w:tc>
          <w:tcPr>
            <w:tcW w:w="1410" w:type="dxa"/>
            <w:shd w:val="clear" w:color="auto" w:fill="auto"/>
          </w:tcPr>
          <w:p w:rsidR="00050B3B" w:rsidRPr="000E00AF" w:rsidRDefault="00050B3B" w:rsidP="00700AA3">
            <w:pPr>
              <w:tabs>
                <w:tab w:val="left" w:pos="-1980"/>
                <w:tab w:val="left" w:pos="443"/>
              </w:tabs>
              <w:jc w:val="center"/>
              <w:rPr>
                <w:rFonts w:ascii="Cambria" w:hAnsi="Cambria"/>
                <w:sz w:val="20"/>
                <w:szCs w:val="20"/>
              </w:rPr>
            </w:pPr>
            <w:r>
              <w:rPr>
                <w:rFonts w:ascii="Cambria" w:hAnsi="Cambria"/>
                <w:sz w:val="20"/>
                <w:szCs w:val="20"/>
              </w:rPr>
              <w:t>CD.</w:t>
            </w:r>
            <w:r w:rsidRPr="000E00AF">
              <w:rPr>
                <w:rFonts w:ascii="Cambria" w:hAnsi="Cambria"/>
                <w:sz w:val="20"/>
                <w:szCs w:val="20"/>
              </w:rPr>
              <w:t>III.D.2.1</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Import text files and other word processing documents into publications</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0E00AF" w:rsidRDefault="00050B3B" w:rsidP="00050B3B">
            <w:pPr>
              <w:tabs>
                <w:tab w:val="left" w:pos="443"/>
              </w:tabs>
              <w:spacing w:after="0"/>
              <w:jc w:val="center"/>
              <w:rPr>
                <w:rFonts w:ascii="Cambria" w:hAnsi="Cambria"/>
                <w:sz w:val="20"/>
                <w:szCs w:val="20"/>
              </w:rPr>
            </w:pPr>
          </w:p>
        </w:tc>
        <w:tc>
          <w:tcPr>
            <w:tcW w:w="1410" w:type="dxa"/>
            <w:shd w:val="clear" w:color="auto" w:fill="auto"/>
          </w:tcPr>
          <w:p w:rsidR="00050B3B" w:rsidRPr="000E00AF" w:rsidRDefault="00050B3B" w:rsidP="00700AA3">
            <w:pPr>
              <w:tabs>
                <w:tab w:val="left" w:pos="-1980"/>
                <w:tab w:val="left" w:pos="443"/>
              </w:tabs>
              <w:jc w:val="center"/>
              <w:rPr>
                <w:rFonts w:ascii="Cambria" w:hAnsi="Cambria"/>
                <w:sz w:val="20"/>
                <w:szCs w:val="20"/>
              </w:rPr>
            </w:pPr>
            <w:r>
              <w:rPr>
                <w:rFonts w:ascii="Cambria" w:hAnsi="Cambria"/>
                <w:sz w:val="20"/>
                <w:szCs w:val="20"/>
              </w:rPr>
              <w:t>IT.</w:t>
            </w:r>
            <w:r w:rsidRPr="000E00AF">
              <w:rPr>
                <w:rFonts w:ascii="Cambria" w:hAnsi="Cambria"/>
                <w:sz w:val="20"/>
                <w:szCs w:val="20"/>
              </w:rPr>
              <w:t>V.1.3</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Access fonts (e.g., download, unzip, install)</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0E00AF" w:rsidRDefault="00050B3B" w:rsidP="00050B3B">
            <w:pPr>
              <w:tabs>
                <w:tab w:val="left" w:pos="443"/>
              </w:tabs>
              <w:spacing w:after="0"/>
              <w:jc w:val="center"/>
              <w:rPr>
                <w:rFonts w:ascii="Cambria" w:hAnsi="Cambria"/>
                <w:sz w:val="20"/>
                <w:szCs w:val="20"/>
              </w:rPr>
            </w:pPr>
          </w:p>
        </w:tc>
        <w:tc>
          <w:tcPr>
            <w:tcW w:w="1410" w:type="dxa"/>
            <w:shd w:val="clear" w:color="auto" w:fill="auto"/>
          </w:tcPr>
          <w:p w:rsidR="00050B3B" w:rsidRPr="000E00AF" w:rsidRDefault="00050B3B"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Apply font size guidelines</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5E7930" w:rsidRDefault="00050B3B" w:rsidP="005E7930">
            <w:pPr>
              <w:tabs>
                <w:tab w:val="left" w:pos="443"/>
              </w:tabs>
              <w:spacing w:after="0"/>
              <w:jc w:val="center"/>
              <w:rPr>
                <w:rFonts w:ascii="Cambria" w:hAnsi="Cambria"/>
                <w:sz w:val="20"/>
                <w:szCs w:val="20"/>
                <w:lang w:val="it-IT"/>
              </w:rPr>
            </w:pPr>
            <w:r w:rsidRPr="006752D6">
              <w:rPr>
                <w:rFonts w:ascii="Cambria" w:hAnsi="Cambria"/>
                <w:sz w:val="20"/>
                <w:szCs w:val="20"/>
                <w:lang w:val="it-IT"/>
              </w:rPr>
              <w:t>N-Q.1</w:t>
            </w:r>
          </w:p>
          <w:p w:rsidR="005E7930" w:rsidRDefault="00050B3B" w:rsidP="005E7930">
            <w:pPr>
              <w:tabs>
                <w:tab w:val="left" w:pos="443"/>
              </w:tabs>
              <w:spacing w:after="0"/>
              <w:jc w:val="center"/>
              <w:rPr>
                <w:rFonts w:ascii="Cambria" w:hAnsi="Cambria"/>
                <w:sz w:val="20"/>
                <w:szCs w:val="20"/>
                <w:lang w:val="it-IT"/>
              </w:rPr>
            </w:pPr>
            <w:r w:rsidRPr="006752D6">
              <w:rPr>
                <w:rFonts w:ascii="Cambria" w:hAnsi="Cambria"/>
                <w:sz w:val="20"/>
                <w:szCs w:val="20"/>
                <w:lang w:val="it-IT"/>
              </w:rPr>
              <w:t>N-Q.2</w:t>
            </w:r>
          </w:p>
          <w:p w:rsidR="00050B3B" w:rsidRPr="006752D6" w:rsidRDefault="00050B3B" w:rsidP="005E7930">
            <w:pPr>
              <w:tabs>
                <w:tab w:val="left" w:pos="443"/>
              </w:tabs>
              <w:spacing w:after="0"/>
              <w:jc w:val="center"/>
              <w:rPr>
                <w:rFonts w:ascii="Cambria" w:hAnsi="Cambria"/>
                <w:sz w:val="20"/>
                <w:szCs w:val="20"/>
                <w:lang w:val="it-IT"/>
              </w:rPr>
            </w:pPr>
            <w:r w:rsidRPr="006752D6">
              <w:rPr>
                <w:rFonts w:ascii="Cambria" w:hAnsi="Cambria"/>
                <w:sz w:val="20"/>
                <w:szCs w:val="20"/>
                <w:lang w:val="it-IT"/>
              </w:rPr>
              <w:t>N-Q.3</w:t>
            </w:r>
          </w:p>
        </w:tc>
        <w:tc>
          <w:tcPr>
            <w:tcW w:w="1410" w:type="dxa"/>
            <w:shd w:val="clear" w:color="auto" w:fill="auto"/>
          </w:tcPr>
          <w:p w:rsidR="00050B3B" w:rsidRPr="006752D6" w:rsidRDefault="00050B3B" w:rsidP="00700AA3">
            <w:pPr>
              <w:tabs>
                <w:tab w:val="left" w:pos="-1980"/>
                <w:tab w:val="left" w:pos="443"/>
              </w:tabs>
              <w:jc w:val="center"/>
              <w:rPr>
                <w:rFonts w:ascii="Cambria" w:hAnsi="Cambria"/>
                <w:sz w:val="20"/>
                <w:szCs w:val="20"/>
                <w:lang w:val="it-IT"/>
              </w:rPr>
            </w:pPr>
          </w:p>
        </w:tc>
        <w:tc>
          <w:tcPr>
            <w:tcW w:w="810" w:type="dxa"/>
            <w:shd w:val="clear" w:color="auto" w:fill="auto"/>
          </w:tcPr>
          <w:p w:rsidR="00050B3B" w:rsidRPr="003B76EF" w:rsidRDefault="004A2886" w:rsidP="005A0F5D">
            <w:pPr>
              <w:spacing w:after="0" w:line="240" w:lineRule="auto"/>
              <w:jc w:val="center"/>
              <w:rPr>
                <w:b/>
              </w:rPr>
            </w:pPr>
            <w:r>
              <w:rPr>
                <w:b/>
              </w:rPr>
              <w:t>3</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Measure type in points, picas, and inches</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5E7930" w:rsidRDefault="00050B3B" w:rsidP="005E7930">
            <w:pPr>
              <w:tabs>
                <w:tab w:val="left" w:pos="443"/>
              </w:tabs>
              <w:spacing w:after="0"/>
              <w:jc w:val="center"/>
              <w:rPr>
                <w:rFonts w:ascii="Cambria" w:hAnsi="Cambria"/>
                <w:sz w:val="20"/>
                <w:szCs w:val="20"/>
                <w:lang w:val="it-IT"/>
              </w:rPr>
            </w:pPr>
            <w:r w:rsidRPr="006752D6">
              <w:rPr>
                <w:rFonts w:ascii="Cambria" w:hAnsi="Cambria"/>
                <w:sz w:val="20"/>
                <w:szCs w:val="20"/>
                <w:lang w:val="it-IT"/>
              </w:rPr>
              <w:t>N-Q.1</w:t>
            </w:r>
          </w:p>
          <w:p w:rsidR="005E7930" w:rsidRDefault="00050B3B" w:rsidP="005E7930">
            <w:pPr>
              <w:tabs>
                <w:tab w:val="left" w:pos="443"/>
              </w:tabs>
              <w:spacing w:after="0"/>
              <w:jc w:val="center"/>
              <w:rPr>
                <w:rFonts w:ascii="Cambria" w:hAnsi="Cambria"/>
                <w:sz w:val="20"/>
                <w:szCs w:val="20"/>
                <w:lang w:val="it-IT"/>
              </w:rPr>
            </w:pPr>
            <w:r w:rsidRPr="006752D6">
              <w:rPr>
                <w:rFonts w:ascii="Cambria" w:hAnsi="Cambria"/>
                <w:sz w:val="20"/>
                <w:szCs w:val="20"/>
                <w:lang w:val="it-IT"/>
              </w:rPr>
              <w:t>N-Q.2</w:t>
            </w:r>
          </w:p>
          <w:p w:rsidR="00050B3B" w:rsidRPr="006752D6" w:rsidRDefault="00050B3B" w:rsidP="005E7930">
            <w:pPr>
              <w:tabs>
                <w:tab w:val="left" w:pos="443"/>
              </w:tabs>
              <w:spacing w:after="0"/>
              <w:jc w:val="center"/>
              <w:rPr>
                <w:rFonts w:ascii="Cambria" w:hAnsi="Cambria"/>
                <w:sz w:val="20"/>
                <w:szCs w:val="20"/>
                <w:lang w:val="it-IT"/>
              </w:rPr>
            </w:pPr>
            <w:r w:rsidRPr="006752D6">
              <w:rPr>
                <w:rFonts w:ascii="Cambria" w:hAnsi="Cambria"/>
                <w:sz w:val="20"/>
                <w:szCs w:val="20"/>
                <w:lang w:val="it-IT"/>
              </w:rPr>
              <w:t>N-Q.3</w:t>
            </w:r>
          </w:p>
        </w:tc>
        <w:tc>
          <w:tcPr>
            <w:tcW w:w="1410" w:type="dxa"/>
            <w:shd w:val="clear" w:color="auto" w:fill="auto"/>
          </w:tcPr>
          <w:p w:rsidR="00050B3B" w:rsidRPr="000E00AF" w:rsidRDefault="00050B3B" w:rsidP="00700AA3">
            <w:pPr>
              <w:tabs>
                <w:tab w:val="left" w:pos="-1980"/>
                <w:tab w:val="left" w:pos="443"/>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Adjust typography attributes (e.g., bold, italic, underline, reverse)</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DC5E54" w:rsidRDefault="00050B3B" w:rsidP="005A0F5D">
            <w:pPr>
              <w:spacing w:after="0" w:line="240" w:lineRule="auto"/>
              <w:rPr>
                <w:b/>
              </w:rPr>
            </w:pPr>
          </w:p>
        </w:tc>
        <w:tc>
          <w:tcPr>
            <w:tcW w:w="1410" w:type="dxa"/>
            <w:shd w:val="clear" w:color="auto" w:fill="auto"/>
          </w:tcPr>
          <w:p w:rsidR="00050B3B" w:rsidRPr="000E00AF" w:rsidRDefault="00050B3B"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Apply character and word spacing (e.g., kerning, tracking and leading)</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DC5E54" w:rsidRDefault="00050B3B" w:rsidP="005A0F5D">
            <w:pPr>
              <w:spacing w:after="0" w:line="240" w:lineRule="auto"/>
              <w:rPr>
                <w:b/>
              </w:rPr>
            </w:pPr>
          </w:p>
        </w:tc>
        <w:tc>
          <w:tcPr>
            <w:tcW w:w="1410" w:type="dxa"/>
            <w:shd w:val="clear" w:color="auto" w:fill="auto"/>
          </w:tcPr>
          <w:p w:rsidR="00050B3B" w:rsidRPr="000E00AF" w:rsidRDefault="00050B3B" w:rsidP="00700AA3">
            <w:pPr>
              <w:tabs>
                <w:tab w:val="left" w:pos="-1980"/>
                <w:tab w:val="left" w:pos="443"/>
                <w:tab w:val="left" w:pos="540"/>
              </w:tabs>
              <w:jc w:val="center"/>
              <w:rPr>
                <w:rFonts w:ascii="Cambria" w:hAnsi="Cambria"/>
                <w:sz w:val="20"/>
                <w:szCs w:val="20"/>
              </w:rPr>
            </w:pPr>
            <w:r w:rsidRPr="000E00AF">
              <w:rPr>
                <w:rFonts w:ascii="Cambria" w:hAnsi="Cambria"/>
                <w:sz w:val="20"/>
                <w:szCs w:val="20"/>
              </w:rPr>
              <w:t>C</w:t>
            </w:r>
            <w:r>
              <w:rPr>
                <w:rFonts w:ascii="Cambria" w:hAnsi="Cambria"/>
                <w:sz w:val="20"/>
                <w:szCs w:val="20"/>
              </w:rPr>
              <w:t>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lastRenderedPageBreak/>
              <w:t>Explain the usage of font types (e.g., serif, sans serif, decorative)</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DC5E54" w:rsidRDefault="00050B3B" w:rsidP="005A0F5D">
            <w:pPr>
              <w:spacing w:after="0" w:line="240" w:lineRule="auto"/>
              <w:rPr>
                <w:b/>
              </w:rPr>
            </w:pPr>
          </w:p>
        </w:tc>
        <w:tc>
          <w:tcPr>
            <w:tcW w:w="1410" w:type="dxa"/>
            <w:shd w:val="clear" w:color="auto" w:fill="auto"/>
          </w:tcPr>
          <w:p w:rsidR="00050B3B" w:rsidRPr="000E00AF" w:rsidRDefault="00050B3B"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3</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 xml:space="preserve">Manipulate text features and formats (e.g., </w:t>
            </w:r>
            <w:proofErr w:type="spellStart"/>
            <w:r w:rsidRPr="00050B3B">
              <w:rPr>
                <w:rFonts w:ascii="Cambria" w:hAnsi="Cambria"/>
                <w:sz w:val="20"/>
                <w:szCs w:val="20"/>
              </w:rPr>
              <w:t>wordwrap</w:t>
            </w:r>
            <w:proofErr w:type="spellEnd"/>
            <w:r w:rsidRPr="00050B3B">
              <w:rPr>
                <w:rFonts w:ascii="Cambria" w:hAnsi="Cambria"/>
                <w:sz w:val="20"/>
                <w:szCs w:val="20"/>
              </w:rPr>
              <w:t>, hyphenations, drop cap, color, gradient, text path)</w:t>
            </w:r>
            <w:r w:rsidR="004A2886">
              <w:rPr>
                <w:rFonts w:ascii="Cambria" w:hAnsi="Cambria"/>
                <w:sz w:val="20"/>
                <w:szCs w:val="20"/>
              </w:rPr>
              <w:t>2</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DC5E54" w:rsidRDefault="00050B3B" w:rsidP="005A0F5D">
            <w:pPr>
              <w:spacing w:after="0" w:line="240" w:lineRule="auto"/>
              <w:rPr>
                <w:b/>
              </w:rPr>
            </w:pPr>
          </w:p>
        </w:tc>
        <w:tc>
          <w:tcPr>
            <w:tcW w:w="1410" w:type="dxa"/>
            <w:shd w:val="clear" w:color="auto" w:fill="auto"/>
          </w:tcPr>
          <w:p w:rsidR="00050B3B" w:rsidRPr="000E00AF" w:rsidRDefault="00050B3B" w:rsidP="00700AA3">
            <w:pPr>
              <w:tabs>
                <w:tab w:val="left" w:pos="-1980"/>
                <w:tab w:val="left" w:pos="443"/>
                <w:tab w:val="left" w:pos="540"/>
              </w:tabs>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rPr>
                <w:rFonts w:ascii="Times New Roman" w:hAnsi="Times New Roman"/>
              </w:rPr>
            </w:pPr>
            <w:r w:rsidRPr="00050B3B">
              <w:rPr>
                <w:rFonts w:ascii="Cambria" w:hAnsi="Cambria"/>
                <w:sz w:val="20"/>
                <w:szCs w:val="20"/>
              </w:rPr>
              <w:t>Apply tabs and indents in text frames</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2D3A14" w:rsidRDefault="00050B3B" w:rsidP="005A0F5D">
            <w:pPr>
              <w:spacing w:after="0" w:line="240" w:lineRule="auto"/>
              <w:rPr>
                <w:sz w:val="20"/>
                <w:szCs w:val="20"/>
              </w:rPr>
            </w:pPr>
          </w:p>
        </w:tc>
        <w:tc>
          <w:tcPr>
            <w:tcW w:w="1410" w:type="dxa"/>
            <w:shd w:val="clear" w:color="auto" w:fill="auto"/>
          </w:tcPr>
          <w:p w:rsidR="00050B3B" w:rsidRPr="000E00AF" w:rsidRDefault="00050B3B" w:rsidP="00050B3B">
            <w:pPr>
              <w:tabs>
                <w:tab w:val="left" w:pos="-1980"/>
                <w:tab w:val="left" w:pos="443"/>
                <w:tab w:val="left" w:pos="540"/>
              </w:tabs>
              <w:spacing w:after="0"/>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tabs>
                <w:tab w:val="left" w:pos="220"/>
              </w:tabs>
              <w:spacing w:after="0" w:line="240" w:lineRule="auto"/>
            </w:pPr>
            <w:r w:rsidRPr="00050B3B">
              <w:rPr>
                <w:rFonts w:ascii="Cambria" w:hAnsi="Cambria"/>
                <w:sz w:val="20"/>
                <w:szCs w:val="20"/>
              </w:rPr>
              <w:t>Apply proofreading and editing techniques to graphic arts/desktop publishing files</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DC5E54" w:rsidRDefault="00050B3B" w:rsidP="005E7930">
            <w:pPr>
              <w:spacing w:after="0" w:line="240" w:lineRule="auto"/>
              <w:jc w:val="center"/>
              <w:rPr>
                <w:b/>
              </w:rPr>
            </w:pPr>
            <w:r w:rsidRPr="000E00AF">
              <w:rPr>
                <w:rFonts w:ascii="Cambria" w:hAnsi="Cambria"/>
                <w:sz w:val="20"/>
                <w:szCs w:val="20"/>
              </w:rPr>
              <w:t>W</w:t>
            </w:r>
            <w:r w:rsidR="005E7930">
              <w:rPr>
                <w:rFonts w:ascii="Cambria" w:hAnsi="Cambria"/>
                <w:sz w:val="20"/>
                <w:szCs w:val="20"/>
              </w:rPr>
              <w:t>.</w:t>
            </w:r>
            <w:r w:rsidRPr="000E00AF">
              <w:rPr>
                <w:rFonts w:ascii="Cambria" w:hAnsi="Cambria"/>
                <w:sz w:val="20"/>
                <w:szCs w:val="20"/>
              </w:rPr>
              <w:t>11-12</w:t>
            </w:r>
            <w:r>
              <w:rPr>
                <w:rFonts w:ascii="Cambria" w:hAnsi="Cambria"/>
                <w:sz w:val="20"/>
                <w:szCs w:val="20"/>
              </w:rPr>
              <w:t>.</w:t>
            </w:r>
            <w:r w:rsidRPr="000E00AF">
              <w:rPr>
                <w:rFonts w:ascii="Cambria" w:hAnsi="Cambria"/>
                <w:sz w:val="20"/>
                <w:szCs w:val="20"/>
              </w:rPr>
              <w:t>5</w:t>
            </w:r>
          </w:p>
        </w:tc>
        <w:tc>
          <w:tcPr>
            <w:tcW w:w="1410" w:type="dxa"/>
            <w:shd w:val="clear" w:color="auto" w:fill="auto"/>
          </w:tcPr>
          <w:p w:rsidR="00050B3B" w:rsidRPr="000E00AF" w:rsidRDefault="00050B3B" w:rsidP="00050B3B">
            <w:pPr>
              <w:tabs>
                <w:tab w:val="left" w:pos="-1980"/>
                <w:tab w:val="left" w:pos="443"/>
                <w:tab w:val="left" w:pos="540"/>
              </w:tabs>
              <w:spacing w:after="0"/>
              <w:jc w:val="center"/>
              <w:rPr>
                <w:rFonts w:ascii="Cambria" w:hAnsi="Cambria"/>
                <w:sz w:val="20"/>
                <w:szCs w:val="20"/>
              </w:rPr>
            </w:pPr>
            <w:r>
              <w:rPr>
                <w:rFonts w:ascii="Cambria" w:hAnsi="Cambria"/>
                <w:sz w:val="20"/>
                <w:szCs w:val="20"/>
              </w:rPr>
              <w:t>COMM.</w:t>
            </w:r>
            <w:r w:rsidRPr="000E00AF">
              <w:rPr>
                <w:rFonts w:ascii="Cambria" w:hAnsi="Cambria"/>
                <w:sz w:val="20"/>
                <w:szCs w:val="20"/>
              </w:rPr>
              <w:t>I.D.2.6,</w:t>
            </w:r>
          </w:p>
          <w:p w:rsidR="00050B3B" w:rsidRPr="000E00AF" w:rsidRDefault="00050B3B" w:rsidP="00050B3B">
            <w:pPr>
              <w:tabs>
                <w:tab w:val="left" w:pos="-1980"/>
                <w:tab w:val="left" w:pos="443"/>
                <w:tab w:val="left" w:pos="540"/>
              </w:tabs>
              <w:spacing w:after="0"/>
              <w:jc w:val="center"/>
              <w:rPr>
                <w:rFonts w:ascii="Cambria" w:hAnsi="Cambria"/>
                <w:sz w:val="20"/>
                <w:szCs w:val="20"/>
              </w:rPr>
            </w:pPr>
            <w:r>
              <w:rPr>
                <w:rFonts w:ascii="Cambria" w:hAnsi="Cambria"/>
                <w:sz w:val="20"/>
                <w:szCs w:val="20"/>
              </w:rPr>
              <w:t>COMM.</w:t>
            </w:r>
            <w:r w:rsidRPr="000E00AF">
              <w:rPr>
                <w:rFonts w:ascii="Cambria" w:hAnsi="Cambria"/>
                <w:sz w:val="20"/>
                <w:szCs w:val="20"/>
              </w:rPr>
              <w:t>I.D.3.6</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50B3B" w:rsidTr="005E7930">
        <w:trPr>
          <w:trHeight w:val="466"/>
        </w:trPr>
        <w:tc>
          <w:tcPr>
            <w:tcW w:w="4931" w:type="dxa"/>
            <w:gridSpan w:val="2"/>
          </w:tcPr>
          <w:p w:rsidR="00050B3B" w:rsidRPr="00050B3B" w:rsidRDefault="00050B3B" w:rsidP="00050B3B">
            <w:pPr>
              <w:pStyle w:val="ListParagraph"/>
              <w:numPr>
                <w:ilvl w:val="0"/>
                <w:numId w:val="18"/>
              </w:numPr>
              <w:spacing w:after="0" w:line="240" w:lineRule="auto"/>
            </w:pPr>
            <w:r w:rsidRPr="00050B3B">
              <w:rPr>
                <w:rFonts w:ascii="Cambria" w:hAnsi="Cambria"/>
                <w:sz w:val="20"/>
                <w:szCs w:val="20"/>
              </w:rPr>
              <w:t>Apply widow and orphan protection</w:t>
            </w:r>
          </w:p>
        </w:tc>
        <w:tc>
          <w:tcPr>
            <w:tcW w:w="2807" w:type="dxa"/>
            <w:gridSpan w:val="2"/>
          </w:tcPr>
          <w:p w:rsidR="00050B3B" w:rsidRPr="00C44E14" w:rsidRDefault="00050B3B" w:rsidP="005A0F5D">
            <w:pPr>
              <w:spacing w:after="0" w:line="240" w:lineRule="auto"/>
              <w:rPr>
                <w:b/>
              </w:rPr>
            </w:pPr>
          </w:p>
        </w:tc>
        <w:tc>
          <w:tcPr>
            <w:tcW w:w="1144" w:type="dxa"/>
            <w:shd w:val="clear" w:color="auto" w:fill="auto"/>
          </w:tcPr>
          <w:p w:rsidR="00050B3B" w:rsidRPr="00C44E14" w:rsidRDefault="00050B3B" w:rsidP="005A0F5D">
            <w:pPr>
              <w:spacing w:after="0" w:line="240" w:lineRule="auto"/>
              <w:rPr>
                <w:b/>
              </w:rPr>
            </w:pPr>
          </w:p>
        </w:tc>
        <w:tc>
          <w:tcPr>
            <w:tcW w:w="695" w:type="dxa"/>
            <w:shd w:val="clear" w:color="auto" w:fill="auto"/>
          </w:tcPr>
          <w:p w:rsidR="00050B3B" w:rsidRPr="00C44E14" w:rsidRDefault="00050B3B" w:rsidP="005A0F5D">
            <w:pPr>
              <w:spacing w:after="0" w:line="240" w:lineRule="auto"/>
              <w:rPr>
                <w:b/>
              </w:rPr>
            </w:pPr>
          </w:p>
        </w:tc>
        <w:tc>
          <w:tcPr>
            <w:tcW w:w="1379" w:type="dxa"/>
            <w:shd w:val="clear" w:color="auto" w:fill="auto"/>
          </w:tcPr>
          <w:p w:rsidR="00050B3B" w:rsidRPr="00DC5E54" w:rsidRDefault="00050B3B" w:rsidP="005A0F5D">
            <w:pPr>
              <w:spacing w:after="0" w:line="240" w:lineRule="auto"/>
              <w:rPr>
                <w:b/>
              </w:rPr>
            </w:pPr>
          </w:p>
        </w:tc>
        <w:tc>
          <w:tcPr>
            <w:tcW w:w="1410" w:type="dxa"/>
            <w:shd w:val="clear" w:color="auto" w:fill="auto"/>
          </w:tcPr>
          <w:p w:rsidR="00050B3B" w:rsidRPr="000E00AF" w:rsidRDefault="00050B3B" w:rsidP="00050B3B">
            <w:pPr>
              <w:tabs>
                <w:tab w:val="left" w:pos="-1980"/>
                <w:tab w:val="left" w:pos="443"/>
                <w:tab w:val="left" w:pos="540"/>
              </w:tabs>
              <w:spacing w:after="0"/>
              <w:jc w:val="center"/>
              <w:rPr>
                <w:rFonts w:ascii="Cambria" w:hAnsi="Cambria"/>
                <w:sz w:val="20"/>
                <w:szCs w:val="20"/>
              </w:rPr>
            </w:pPr>
            <w:r>
              <w:rPr>
                <w:rFonts w:ascii="Cambria" w:hAnsi="Cambria"/>
                <w:sz w:val="20"/>
                <w:szCs w:val="20"/>
              </w:rPr>
              <w:t>COMM.</w:t>
            </w:r>
            <w:r w:rsidRPr="000E00AF">
              <w:rPr>
                <w:rFonts w:ascii="Cambria" w:hAnsi="Cambria"/>
                <w:sz w:val="20"/>
                <w:szCs w:val="20"/>
              </w:rPr>
              <w:t>IV.3.8</w:t>
            </w:r>
          </w:p>
        </w:tc>
        <w:tc>
          <w:tcPr>
            <w:tcW w:w="810" w:type="dxa"/>
            <w:shd w:val="clear" w:color="auto" w:fill="auto"/>
          </w:tcPr>
          <w:p w:rsidR="00050B3B" w:rsidRPr="003B76EF" w:rsidRDefault="004A2886" w:rsidP="005A0F5D">
            <w:pPr>
              <w:spacing w:after="0" w:line="240" w:lineRule="auto"/>
              <w:jc w:val="center"/>
              <w:rPr>
                <w:b/>
              </w:rPr>
            </w:pPr>
            <w:r>
              <w:rPr>
                <w:b/>
              </w:rPr>
              <w:t>2</w:t>
            </w:r>
          </w:p>
        </w:tc>
      </w:tr>
      <w:tr w:rsidR="000F12AC" w:rsidTr="00C44E14">
        <w:trPr>
          <w:trHeight w:val="466"/>
        </w:trPr>
        <w:tc>
          <w:tcPr>
            <w:tcW w:w="13176" w:type="dxa"/>
            <w:gridSpan w:val="9"/>
          </w:tcPr>
          <w:p w:rsidR="00C840BA"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366003" w:rsidRPr="00C44E14" w:rsidRDefault="007B1306" w:rsidP="00C44E14">
            <w:pPr>
              <w:spacing w:line="240" w:lineRule="auto"/>
              <w:rPr>
                <w:b/>
              </w:rPr>
            </w:pPr>
            <w:r>
              <w:rPr>
                <w:b/>
              </w:rPr>
              <w:t>Use formative and summative assessments to check for understanding and knowledge.</w:t>
            </w:r>
            <w:r w:rsidR="00C840BA">
              <w:rPr>
                <w:b/>
              </w:rPr>
              <w:t xml:space="preserve">  Suggestions</w:t>
            </w:r>
            <w:r w:rsidR="00F54C88">
              <w:rPr>
                <w:b/>
              </w:rPr>
              <w:t xml:space="preserve"> for formative</w:t>
            </w:r>
            <w:r w:rsidR="00C840BA">
              <w:rPr>
                <w:b/>
              </w:rPr>
              <w:t>:  Have students match messages to fonts, look at magazines and determine the message being sent, have studen</w:t>
            </w:r>
            <w:r w:rsidR="003D3D73">
              <w:rPr>
                <w:b/>
              </w:rPr>
              <w:t>ts create a font that represent</w:t>
            </w:r>
            <w:r w:rsidR="00C840BA">
              <w:rPr>
                <w:b/>
              </w:rPr>
              <w:t>s their style.</w:t>
            </w:r>
          </w:p>
          <w:p w:rsidR="00366003" w:rsidRPr="00C44E14" w:rsidRDefault="00F54C88" w:rsidP="00C44E14">
            <w:pPr>
              <w:spacing w:line="240" w:lineRule="auto"/>
              <w:rPr>
                <w:b/>
              </w:rPr>
            </w:pPr>
            <w:r>
              <w:rPr>
                <w:b/>
              </w:rPr>
              <w:t>Newspaper Advertisement Summative Assessment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C44E14">
        <w:trPr>
          <w:trHeight w:val="359"/>
        </w:trPr>
        <w:tc>
          <w:tcPr>
            <w:tcW w:w="828" w:type="dxa"/>
          </w:tcPr>
          <w:p w:rsidR="00D2622A" w:rsidRPr="009505D0" w:rsidRDefault="0057186A" w:rsidP="00C44E14">
            <w:pPr>
              <w:spacing w:line="240" w:lineRule="auto"/>
              <w:rPr>
                <w:noProof/>
              </w:rPr>
            </w:pPr>
            <w:r>
              <w:rPr>
                <w:noProof/>
              </w:rPr>
              <w:t>8</w:t>
            </w:r>
            <w:r w:rsidR="006D1936">
              <w:rPr>
                <w:noProof/>
              </w:rPr>
              <w:t>, 9, 12</w:t>
            </w:r>
          </w:p>
        </w:tc>
        <w:tc>
          <w:tcPr>
            <w:tcW w:w="12348" w:type="dxa"/>
            <w:gridSpan w:val="8"/>
          </w:tcPr>
          <w:p w:rsidR="00D2622A" w:rsidRPr="006D1936" w:rsidRDefault="0057186A" w:rsidP="006D1936">
            <w:pPr>
              <w:pStyle w:val="ListParagraph"/>
              <w:numPr>
                <w:ilvl w:val="0"/>
                <w:numId w:val="21"/>
              </w:numPr>
              <w:spacing w:line="240" w:lineRule="auto"/>
            </w:pPr>
            <w:r w:rsidRPr="006D1936">
              <w:t xml:space="preserve">Teacher’s key for InDesign Handout </w:t>
            </w:r>
            <w:proofErr w:type="gramStart"/>
            <w:r w:rsidRPr="006D1936">
              <w:t>Student  (</w:t>
            </w:r>
            <w:proofErr w:type="gramEnd"/>
            <w:r w:rsidRPr="006D1936">
              <w:t>notes over the basics of InDesign)</w:t>
            </w:r>
            <w:r w:rsidR="006D1936" w:rsidRPr="006D1936">
              <w:t xml:space="preserve">; </w:t>
            </w:r>
            <w:r w:rsidR="006D1936" w:rsidRPr="006D1936">
              <w:t>Presentation over fonts/typography</w:t>
            </w:r>
            <w:r w:rsidR="006D1936" w:rsidRPr="006D1936">
              <w:t>; Have students proofread each other’s work.</w:t>
            </w:r>
          </w:p>
        </w:tc>
      </w:tr>
      <w:tr w:rsidR="00D2622A" w:rsidTr="00C44E14">
        <w:trPr>
          <w:trHeight w:val="359"/>
        </w:trPr>
        <w:tc>
          <w:tcPr>
            <w:tcW w:w="828" w:type="dxa"/>
          </w:tcPr>
          <w:p w:rsidR="00D2622A" w:rsidRPr="009505D0" w:rsidRDefault="006D1936" w:rsidP="00C44E14">
            <w:pPr>
              <w:spacing w:line="240" w:lineRule="auto"/>
              <w:rPr>
                <w:noProof/>
              </w:rPr>
            </w:pPr>
            <w:r>
              <w:rPr>
                <w:noProof/>
              </w:rPr>
              <w:t>8</w:t>
            </w:r>
          </w:p>
        </w:tc>
        <w:tc>
          <w:tcPr>
            <w:tcW w:w="12348" w:type="dxa"/>
            <w:gridSpan w:val="8"/>
          </w:tcPr>
          <w:p w:rsidR="00D2622A" w:rsidRPr="006D1936" w:rsidRDefault="006D1936" w:rsidP="006D1936">
            <w:pPr>
              <w:pStyle w:val="ListParagraph"/>
              <w:numPr>
                <w:ilvl w:val="0"/>
                <w:numId w:val="21"/>
              </w:numPr>
              <w:spacing w:line="240" w:lineRule="auto"/>
            </w:pPr>
            <w:r w:rsidRPr="006D1936">
              <w:t>Guided Practice on InDesign</w:t>
            </w:r>
          </w:p>
        </w:tc>
      </w:tr>
      <w:tr w:rsidR="00D2622A" w:rsidTr="00C44E14">
        <w:trPr>
          <w:trHeight w:val="359"/>
        </w:trPr>
        <w:tc>
          <w:tcPr>
            <w:tcW w:w="828" w:type="dxa"/>
          </w:tcPr>
          <w:p w:rsidR="00D2622A" w:rsidRPr="009505D0" w:rsidRDefault="006D1936" w:rsidP="00C44E14">
            <w:pPr>
              <w:spacing w:line="240" w:lineRule="auto"/>
              <w:rPr>
                <w:noProof/>
              </w:rPr>
            </w:pPr>
            <w:r>
              <w:rPr>
                <w:noProof/>
              </w:rPr>
              <w:t>9</w:t>
            </w:r>
          </w:p>
        </w:tc>
        <w:tc>
          <w:tcPr>
            <w:tcW w:w="12348" w:type="dxa"/>
            <w:gridSpan w:val="8"/>
          </w:tcPr>
          <w:p w:rsidR="00D2622A" w:rsidRPr="006D1936" w:rsidRDefault="006D1936" w:rsidP="006D1936">
            <w:pPr>
              <w:pStyle w:val="ListParagraph"/>
              <w:numPr>
                <w:ilvl w:val="0"/>
                <w:numId w:val="21"/>
              </w:numPr>
              <w:spacing w:line="240" w:lineRule="auto"/>
            </w:pPr>
            <w:r w:rsidRPr="006D1936">
              <w:t>Students complete</w:t>
            </w:r>
            <w:bookmarkStart w:id="0" w:name="_GoBack"/>
            <w:bookmarkEnd w:id="0"/>
            <w:r w:rsidRPr="006D1936">
              <w:t xml:space="preserve"> Magazine Font Project</w:t>
            </w:r>
          </w:p>
        </w:tc>
      </w:tr>
      <w:tr w:rsidR="006D1936" w:rsidTr="00C44E14">
        <w:trPr>
          <w:trHeight w:val="359"/>
        </w:trPr>
        <w:tc>
          <w:tcPr>
            <w:tcW w:w="828" w:type="dxa"/>
          </w:tcPr>
          <w:p w:rsidR="006D1936" w:rsidRDefault="006D1936" w:rsidP="00C44E14">
            <w:pPr>
              <w:spacing w:line="240" w:lineRule="auto"/>
              <w:rPr>
                <w:noProof/>
              </w:rPr>
            </w:pPr>
            <w:r>
              <w:rPr>
                <w:noProof/>
              </w:rPr>
              <w:t>11</w:t>
            </w:r>
          </w:p>
        </w:tc>
        <w:tc>
          <w:tcPr>
            <w:tcW w:w="12348" w:type="dxa"/>
            <w:gridSpan w:val="8"/>
          </w:tcPr>
          <w:p w:rsidR="006D1936" w:rsidRPr="006D1936" w:rsidRDefault="006D1936" w:rsidP="006D1936">
            <w:pPr>
              <w:pStyle w:val="ListParagraph"/>
              <w:numPr>
                <w:ilvl w:val="0"/>
                <w:numId w:val="21"/>
              </w:numPr>
              <w:spacing w:line="240" w:lineRule="auto"/>
            </w:pPr>
            <w:r w:rsidRPr="006D1936">
              <w:t>Students learn more advanced InDesign tools.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6D1936" w:rsidP="00C44E14">
            <w:pPr>
              <w:spacing w:line="240" w:lineRule="auto"/>
              <w:rPr>
                <w:noProof/>
              </w:rPr>
            </w:pPr>
            <w:r>
              <w:rPr>
                <w:noProof/>
              </w:rPr>
              <w:t>8, 9, 12</w:t>
            </w:r>
          </w:p>
        </w:tc>
        <w:tc>
          <w:tcPr>
            <w:tcW w:w="12348" w:type="dxa"/>
            <w:gridSpan w:val="8"/>
          </w:tcPr>
          <w:p w:rsidR="003A7E69" w:rsidRPr="006D1936" w:rsidRDefault="006D1936" w:rsidP="006D1936">
            <w:pPr>
              <w:pStyle w:val="ListParagraph"/>
              <w:numPr>
                <w:ilvl w:val="0"/>
                <w:numId w:val="20"/>
              </w:numPr>
              <w:spacing w:line="240" w:lineRule="auto"/>
            </w:pPr>
            <w:r w:rsidRPr="006D1936">
              <w:t xml:space="preserve">Students takes notes over the basics of InDesign and fonts/typography; </w:t>
            </w:r>
            <w:r w:rsidR="0057186A" w:rsidRPr="006D1936">
              <w:t xml:space="preserve">Peer to Peer Proofreading:  Paper/Pencil or use collaboration sites like </w:t>
            </w:r>
            <w:proofErr w:type="spellStart"/>
            <w:r w:rsidR="0057186A" w:rsidRPr="006D1936">
              <w:t>stixy</w:t>
            </w:r>
            <w:proofErr w:type="spellEnd"/>
            <w:r w:rsidR="0057186A" w:rsidRPr="006D1936">
              <w:t xml:space="preserve"> and </w:t>
            </w:r>
            <w:proofErr w:type="spellStart"/>
            <w:r w:rsidR="0057186A" w:rsidRPr="006D1936">
              <w:t>wallwisher</w:t>
            </w:r>
            <w:proofErr w:type="spellEnd"/>
          </w:p>
        </w:tc>
      </w:tr>
      <w:tr w:rsidR="003A7E69" w:rsidTr="00C44E14">
        <w:trPr>
          <w:trHeight w:val="466"/>
        </w:trPr>
        <w:tc>
          <w:tcPr>
            <w:tcW w:w="828" w:type="dxa"/>
          </w:tcPr>
          <w:p w:rsidR="003A7E69" w:rsidRPr="009505D0" w:rsidRDefault="0057186A" w:rsidP="00C44E14">
            <w:pPr>
              <w:spacing w:line="240" w:lineRule="auto"/>
              <w:rPr>
                <w:noProof/>
              </w:rPr>
            </w:pPr>
            <w:r>
              <w:rPr>
                <w:noProof/>
              </w:rPr>
              <w:lastRenderedPageBreak/>
              <w:t>8</w:t>
            </w:r>
          </w:p>
        </w:tc>
        <w:tc>
          <w:tcPr>
            <w:tcW w:w="12348" w:type="dxa"/>
            <w:gridSpan w:val="8"/>
          </w:tcPr>
          <w:p w:rsidR="003A7E69" w:rsidRPr="006D1936" w:rsidRDefault="006D1936" w:rsidP="006D1936">
            <w:pPr>
              <w:pStyle w:val="ListParagraph"/>
              <w:numPr>
                <w:ilvl w:val="0"/>
                <w:numId w:val="20"/>
              </w:numPr>
              <w:spacing w:line="240" w:lineRule="auto"/>
            </w:pPr>
            <w:r w:rsidRPr="006D1936">
              <w:t>Students complete worksheet, InDesign Handout.</w:t>
            </w:r>
          </w:p>
        </w:tc>
      </w:tr>
      <w:tr w:rsidR="003A7E69" w:rsidTr="00C44E14">
        <w:trPr>
          <w:trHeight w:val="466"/>
        </w:trPr>
        <w:tc>
          <w:tcPr>
            <w:tcW w:w="828" w:type="dxa"/>
          </w:tcPr>
          <w:p w:rsidR="003A7E69" w:rsidRPr="009505D0" w:rsidRDefault="00216B34" w:rsidP="00C44E14">
            <w:pPr>
              <w:spacing w:line="240" w:lineRule="auto"/>
              <w:rPr>
                <w:noProof/>
              </w:rPr>
            </w:pPr>
            <w:r>
              <w:rPr>
                <w:noProof/>
              </w:rPr>
              <w:t>9</w:t>
            </w:r>
          </w:p>
        </w:tc>
        <w:tc>
          <w:tcPr>
            <w:tcW w:w="12348" w:type="dxa"/>
            <w:gridSpan w:val="8"/>
          </w:tcPr>
          <w:p w:rsidR="003A7E69" w:rsidRPr="006D1936" w:rsidRDefault="006D1936" w:rsidP="006D1936">
            <w:pPr>
              <w:pStyle w:val="ListParagraph"/>
              <w:numPr>
                <w:ilvl w:val="0"/>
                <w:numId w:val="20"/>
              </w:numPr>
              <w:spacing w:line="240" w:lineRule="auto"/>
            </w:pPr>
            <w:r w:rsidRPr="006D1936">
              <w:t xml:space="preserve">Students work on a </w:t>
            </w:r>
            <w:r w:rsidR="004A2886" w:rsidRPr="006D1936">
              <w:t>Magazine Font Project</w:t>
            </w:r>
            <w:r w:rsidRPr="006D1936">
              <w:t>.</w:t>
            </w:r>
          </w:p>
        </w:tc>
      </w:tr>
      <w:tr w:rsidR="00CF2ADE" w:rsidTr="00C44E14">
        <w:trPr>
          <w:trHeight w:val="466"/>
        </w:trPr>
        <w:tc>
          <w:tcPr>
            <w:tcW w:w="828" w:type="dxa"/>
          </w:tcPr>
          <w:p w:rsidR="00CF2ADE" w:rsidRDefault="00CF2ADE" w:rsidP="00C44E14">
            <w:pPr>
              <w:spacing w:line="240" w:lineRule="auto"/>
              <w:rPr>
                <w:noProof/>
              </w:rPr>
            </w:pPr>
            <w:r>
              <w:rPr>
                <w:noProof/>
              </w:rPr>
              <w:t>11</w:t>
            </w:r>
          </w:p>
        </w:tc>
        <w:tc>
          <w:tcPr>
            <w:tcW w:w="12348" w:type="dxa"/>
            <w:gridSpan w:val="8"/>
          </w:tcPr>
          <w:p w:rsidR="00CF2ADE" w:rsidRPr="006D1936" w:rsidRDefault="006D1936" w:rsidP="006D1936">
            <w:pPr>
              <w:pStyle w:val="ListParagraph"/>
              <w:numPr>
                <w:ilvl w:val="0"/>
                <w:numId w:val="20"/>
              </w:numPr>
              <w:spacing w:line="240" w:lineRule="auto"/>
            </w:pPr>
            <w:r w:rsidRPr="006D1936">
              <w:t>Students complete advanced InDesign worksheet and practice.</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57186A" w:rsidP="00216B34">
            <w:pPr>
              <w:spacing w:after="0" w:line="240" w:lineRule="auto"/>
              <w:rPr>
                <w:b/>
              </w:rPr>
            </w:pPr>
            <w:r>
              <w:rPr>
                <w:b/>
              </w:rPr>
              <w:t xml:space="preserve">Blog.teachbook.com.au/index.php/computer-science/graphic-design/typography-101/ </w:t>
            </w:r>
          </w:p>
          <w:p w:rsidR="004A2886" w:rsidRDefault="004A2886" w:rsidP="00216B34">
            <w:pPr>
              <w:spacing w:after="0" w:line="240" w:lineRule="auto"/>
              <w:rPr>
                <w:b/>
              </w:rPr>
            </w:pPr>
            <w:r>
              <w:rPr>
                <w:b/>
              </w:rPr>
              <w:t>Typography Activity and Tonya Skinner</w:t>
            </w:r>
          </w:p>
          <w:p w:rsidR="00216B34" w:rsidRDefault="00216B34" w:rsidP="00216B34">
            <w:pPr>
              <w:spacing w:after="0" w:line="240" w:lineRule="auto"/>
              <w:rPr>
                <w:b/>
              </w:rPr>
            </w:pPr>
            <w:r>
              <w:rPr>
                <w:b/>
              </w:rPr>
              <w:t xml:space="preserve">Design Resource Box:  </w:t>
            </w:r>
            <w:hyperlink r:id="rId12" w:history="1">
              <w:r w:rsidR="001C3637" w:rsidRPr="00102A66">
                <w:rPr>
                  <w:rStyle w:val="Hyperlink"/>
                  <w:b/>
                </w:rPr>
                <w:t>www.designresourcebox.com/an-awesome-collection-typography-tutorials</w:t>
              </w:r>
            </w:hyperlink>
          </w:p>
          <w:p w:rsidR="001C3637" w:rsidRPr="00817276" w:rsidRDefault="001C3637" w:rsidP="00216B34">
            <w:pPr>
              <w:spacing w:after="0" w:line="240" w:lineRule="auto"/>
              <w:rPr>
                <w:lang w:val="fr-FR"/>
              </w:rPr>
            </w:pPr>
            <w:r w:rsidRPr="00817276">
              <w:rPr>
                <w:b/>
                <w:lang w:val="fr-FR"/>
              </w:rPr>
              <w:t xml:space="preserve">Font </w:t>
            </w:r>
            <w:proofErr w:type="spellStart"/>
            <w:r w:rsidRPr="00817276">
              <w:rPr>
                <w:b/>
                <w:lang w:val="fr-FR"/>
              </w:rPr>
              <w:t>Conference</w:t>
            </w:r>
            <w:proofErr w:type="spellEnd"/>
            <w:r w:rsidRPr="00817276">
              <w:rPr>
                <w:b/>
                <w:lang w:val="fr-FR"/>
              </w:rPr>
              <w:t xml:space="preserve"> </w:t>
            </w:r>
            <w:proofErr w:type="spellStart"/>
            <w:r w:rsidRPr="00817276">
              <w:rPr>
                <w:b/>
                <w:lang w:val="fr-FR"/>
              </w:rPr>
              <w:t>video</w:t>
            </w:r>
            <w:proofErr w:type="spellEnd"/>
            <w:r w:rsidR="00971CD1" w:rsidRPr="00817276">
              <w:rPr>
                <w:b/>
                <w:lang w:val="fr-FR"/>
              </w:rPr>
              <w:t>:</w:t>
            </w:r>
            <w:r w:rsidRPr="00817276">
              <w:rPr>
                <w:b/>
                <w:lang w:val="fr-FR"/>
              </w:rPr>
              <w:t xml:space="preserve"> </w:t>
            </w:r>
            <w:hyperlink r:id="rId13" w:history="1">
              <w:r w:rsidRPr="00817276">
                <w:rPr>
                  <w:rStyle w:val="Hyperlink"/>
                  <w:lang w:val="fr-FR"/>
                </w:rPr>
                <w:t>http://www.youtube.com/watch?v=ssWvuHIZnew</w:t>
              </w:r>
            </w:hyperlink>
            <w:r w:rsidRPr="00817276">
              <w:rPr>
                <w:lang w:val="fr-FR"/>
              </w:rPr>
              <w:t xml:space="preserve"> </w:t>
            </w:r>
          </w:p>
          <w:p w:rsidR="00971CD1" w:rsidRDefault="00971CD1" w:rsidP="00216B34">
            <w:pPr>
              <w:spacing w:after="0" w:line="240" w:lineRule="auto"/>
            </w:pPr>
            <w:r w:rsidRPr="00971CD1">
              <w:rPr>
                <w:b/>
              </w:rPr>
              <w:t>Link to Typography tutorials:</w:t>
            </w:r>
            <w:r>
              <w:t xml:space="preserve"> </w:t>
            </w:r>
            <w:hyperlink r:id="rId14" w:history="1">
              <w:r w:rsidRPr="00E41934">
                <w:rPr>
                  <w:rStyle w:val="Hyperlink"/>
                </w:rPr>
                <w:t>http://www.creativebloq.com/graphic-design-tips/typography-tutorials-1232719</w:t>
              </w:r>
            </w:hyperlink>
            <w:r>
              <w:t xml:space="preserve"> </w:t>
            </w:r>
          </w:p>
          <w:p w:rsidR="00971CD1" w:rsidRDefault="00971CD1" w:rsidP="00216B34">
            <w:pPr>
              <w:spacing w:after="0" w:line="240" w:lineRule="auto"/>
              <w:rPr>
                <w:b/>
              </w:rPr>
            </w:pPr>
          </w:p>
          <w:p w:rsidR="00817276" w:rsidRPr="00817276" w:rsidRDefault="00817276" w:rsidP="00817276">
            <w:pPr>
              <w:spacing w:after="0" w:line="300" w:lineRule="atLeast"/>
              <w:outlineLvl w:val="0"/>
              <w:rPr>
                <w:rFonts w:asciiTheme="minorHAnsi" w:eastAsia="Times New Roman" w:hAnsiTheme="minorHAnsi" w:cs="Arial"/>
                <w:color w:val="222222"/>
                <w:lang w:eastAsia="zh-CN"/>
              </w:rPr>
            </w:pPr>
            <w:proofErr w:type="spellStart"/>
            <w:r>
              <w:rPr>
                <w:rFonts w:asciiTheme="minorHAnsi" w:eastAsia="Times New Roman" w:hAnsiTheme="minorHAnsi" w:cs="Arial"/>
                <w:b/>
                <w:bCs/>
                <w:color w:val="2EA646"/>
                <w:kern w:val="36"/>
                <w:lang w:eastAsia="zh-CN"/>
              </w:rPr>
              <w:t>Resources@MCCE</w:t>
            </w:r>
            <w:proofErr w:type="spellEnd"/>
            <w:r>
              <w:rPr>
                <w:rFonts w:asciiTheme="minorHAnsi" w:eastAsia="Times New Roman" w:hAnsiTheme="minorHAnsi" w:cs="Arial"/>
                <w:b/>
                <w:bCs/>
                <w:color w:val="2EA646"/>
                <w:kern w:val="36"/>
                <w:lang w:eastAsia="zh-CN"/>
              </w:rPr>
              <w:t xml:space="preserve"> - </w:t>
            </w:r>
            <w:r w:rsidRPr="00817276">
              <w:rPr>
                <w:rFonts w:asciiTheme="minorHAnsi" w:eastAsia="Times New Roman" w:hAnsiTheme="minorHAnsi" w:cs="Arial"/>
                <w:b/>
                <w:bCs/>
                <w:color w:val="2EA646"/>
                <w:kern w:val="36"/>
                <w:lang w:eastAsia="zh-CN"/>
              </w:rPr>
              <w:t>BE DVD ROM 1</w:t>
            </w:r>
            <w:r>
              <w:rPr>
                <w:rFonts w:asciiTheme="minorHAnsi" w:eastAsia="Times New Roman" w:hAnsiTheme="minorHAnsi" w:cs="Arial"/>
                <w:b/>
                <w:bCs/>
                <w:color w:val="2EA646"/>
                <w:kern w:val="36"/>
                <w:lang w:eastAsia="zh-CN"/>
              </w:rPr>
              <w:t xml:space="preserve">, </w:t>
            </w:r>
            <w:r w:rsidR="003F7ABF">
              <w:rPr>
                <w:rFonts w:asciiTheme="minorHAnsi" w:eastAsia="Times New Roman" w:hAnsiTheme="minorHAnsi" w:cs="Arial"/>
                <w:b/>
                <w:bCs/>
                <w:color w:val="222222"/>
                <w:lang w:eastAsia="zh-CN"/>
              </w:rPr>
              <w:t>Total Training for Adobe InDesign</w:t>
            </w:r>
            <w:r w:rsidRPr="00817276">
              <w:rPr>
                <w:rFonts w:asciiTheme="minorHAnsi" w:eastAsia="Times New Roman" w:hAnsiTheme="minorHAnsi" w:cs="Arial"/>
                <w:b/>
                <w:bCs/>
                <w:color w:val="222222"/>
                <w:lang w:eastAsia="zh-CN"/>
              </w:rPr>
              <w:t xml:space="preserve"> CS2</w:t>
            </w:r>
            <w:r>
              <w:rPr>
                <w:rFonts w:asciiTheme="minorHAnsi" w:eastAsia="Times New Roman" w:hAnsiTheme="minorHAnsi" w:cs="Arial"/>
                <w:b/>
                <w:bCs/>
                <w:color w:val="222222"/>
                <w:lang w:eastAsia="zh-CN"/>
              </w:rPr>
              <w:t xml:space="preserve">:  </w:t>
            </w:r>
            <w:r w:rsidRPr="00817276">
              <w:rPr>
                <w:rFonts w:asciiTheme="minorHAnsi" w:eastAsia="Times New Roman" w:hAnsiTheme="minorHAnsi" w:cs="Arial"/>
                <w:color w:val="555555"/>
                <w:lang w:eastAsia="zh-CN"/>
              </w:rPr>
              <w:t>Total Training, Inc.</w:t>
            </w:r>
            <w:r>
              <w:rPr>
                <w:rFonts w:asciiTheme="minorHAnsi" w:eastAsia="Times New Roman" w:hAnsiTheme="minorHAnsi" w:cs="Arial"/>
                <w:color w:val="555555"/>
                <w:lang w:eastAsia="zh-CN"/>
              </w:rPr>
              <w:t xml:space="preserve">, </w:t>
            </w:r>
            <w:r w:rsidRPr="00817276">
              <w:rPr>
                <w:rFonts w:asciiTheme="minorHAnsi" w:eastAsia="Times New Roman" w:hAnsiTheme="minorHAnsi" w:cs="Arial"/>
                <w:color w:val="555555"/>
                <w:lang w:eastAsia="zh-CN"/>
              </w:rPr>
              <w:t>CARLSBAD, CA, TOTAL TRAINING, INC., 2005.</w:t>
            </w:r>
            <w:r w:rsidRPr="00817276">
              <w:rPr>
                <w:rFonts w:asciiTheme="minorHAnsi" w:eastAsia="Times New Roman" w:hAnsiTheme="minorHAnsi" w:cs="Arial"/>
                <w:color w:val="222222"/>
                <w:lang w:eastAsia="zh-CN"/>
              </w:rPr>
              <w:br/>
              <w:t>Adobe Certified Expert, Steve Holmes demonstrates how to develop and advance design, typography, and layout skills. Lessons include: Design, Typography &amp; Layout; Production Magic &amp; Streamlined Output. A DVD player (computer or set-top) is required to view the DVD version of this product. A computer with a working copy of Adobe InDesign CS2 is required to work along with the supplied project files. Applicable for both Mac and Windows users. Runtime 16 hours 34 minutes. </w:t>
            </w:r>
          </w:p>
          <w:p w:rsidR="00817276" w:rsidRPr="00C44E14" w:rsidRDefault="00817276" w:rsidP="00216B34">
            <w:pPr>
              <w:spacing w:after="0"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F8" w:rsidRDefault="00631FF8" w:rsidP="00FD5A4D">
      <w:pPr>
        <w:spacing w:after="0" w:line="240" w:lineRule="auto"/>
      </w:pPr>
      <w:r>
        <w:separator/>
      </w:r>
    </w:p>
  </w:endnote>
  <w:endnote w:type="continuationSeparator" w:id="0">
    <w:p w:rsidR="00631FF8" w:rsidRDefault="00631FF8" w:rsidP="00FD5A4D">
      <w:pPr>
        <w:spacing w:after="0" w:line="240" w:lineRule="auto"/>
      </w:pPr>
      <w:r>
        <w:continuationSeparator/>
      </w:r>
    </w:p>
  </w:endnote>
  <w:endnote w:type="continuationNotice" w:id="1">
    <w:p w:rsidR="00631FF8" w:rsidRDefault="00631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9270CE">
      <w:rPr>
        <w:b/>
        <w:sz w:val="24"/>
        <w:szCs w:val="24"/>
      </w:rPr>
      <w:fldChar w:fldCharType="begin"/>
    </w:r>
    <w:r>
      <w:rPr>
        <w:b/>
      </w:rPr>
      <w:instrText xml:space="preserve"> PAGE </w:instrText>
    </w:r>
    <w:r w:rsidR="009270CE">
      <w:rPr>
        <w:b/>
        <w:sz w:val="24"/>
        <w:szCs w:val="24"/>
      </w:rPr>
      <w:fldChar w:fldCharType="separate"/>
    </w:r>
    <w:r w:rsidR="006D1936">
      <w:rPr>
        <w:b/>
        <w:noProof/>
      </w:rPr>
      <w:t>4</w:t>
    </w:r>
    <w:r w:rsidR="009270CE">
      <w:rPr>
        <w:b/>
        <w:sz w:val="24"/>
        <w:szCs w:val="24"/>
      </w:rPr>
      <w:fldChar w:fldCharType="end"/>
    </w:r>
    <w:r>
      <w:t xml:space="preserve"> of </w:t>
    </w:r>
    <w:r w:rsidR="009270CE">
      <w:rPr>
        <w:b/>
        <w:sz w:val="24"/>
        <w:szCs w:val="24"/>
      </w:rPr>
      <w:fldChar w:fldCharType="begin"/>
    </w:r>
    <w:r>
      <w:rPr>
        <w:b/>
      </w:rPr>
      <w:instrText xml:space="preserve"> NUMPAGES  </w:instrText>
    </w:r>
    <w:r w:rsidR="009270CE">
      <w:rPr>
        <w:b/>
        <w:sz w:val="24"/>
        <w:szCs w:val="24"/>
      </w:rPr>
      <w:fldChar w:fldCharType="separate"/>
    </w:r>
    <w:r w:rsidR="006D1936">
      <w:rPr>
        <w:b/>
        <w:noProof/>
      </w:rPr>
      <w:t>4</w:t>
    </w:r>
    <w:r w:rsidR="009270C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F8" w:rsidRDefault="00631FF8" w:rsidP="00FD5A4D">
      <w:pPr>
        <w:spacing w:after="0" w:line="240" w:lineRule="auto"/>
      </w:pPr>
      <w:r>
        <w:separator/>
      </w:r>
    </w:p>
  </w:footnote>
  <w:footnote w:type="continuationSeparator" w:id="0">
    <w:p w:rsidR="00631FF8" w:rsidRDefault="00631FF8" w:rsidP="00FD5A4D">
      <w:pPr>
        <w:spacing w:after="0" w:line="240" w:lineRule="auto"/>
      </w:pPr>
      <w:r>
        <w:continuationSeparator/>
      </w:r>
    </w:p>
  </w:footnote>
  <w:footnote w:type="continuationNotice" w:id="1">
    <w:p w:rsidR="00631FF8" w:rsidRDefault="00631F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64347C">
    <w:pPr>
      <w:pStyle w:val="Header"/>
      <w:tabs>
        <w:tab w:val="left" w:pos="8640"/>
      </w:tabs>
    </w:pPr>
    <w:r>
      <w:t xml:space="preserve">GRADE LEVEL/UNIT TITLE: </w:t>
    </w:r>
    <w:r w:rsidR="005A0F5D">
      <w:t>11-12/</w:t>
    </w:r>
    <w:r w:rsidR="00050B3B">
      <w:t>Demonstrate Typography Concepts</w:t>
    </w:r>
    <w:r w:rsidR="0064347C">
      <w:tab/>
    </w:r>
    <w:r w:rsidR="005A0F5D">
      <w:tab/>
    </w:r>
    <w:r w:rsidR="0094250B">
      <w:t>Course</w:t>
    </w:r>
    <w:r>
      <w:t xml:space="preserve"> Code:</w:t>
    </w:r>
    <w:r w:rsidR="0064347C">
      <w:t xml:space="preserve"> </w:t>
    </w:r>
    <w:r w:rsidR="0064347C">
      <w:rPr>
        <w:color w:val="000000"/>
      </w:rPr>
      <w:t>034353 CIP Code: 11.0103</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C01A8"/>
    <w:multiLevelType w:val="hybridMultilevel"/>
    <w:tmpl w:val="A0F0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75BD4"/>
    <w:multiLevelType w:val="hybridMultilevel"/>
    <w:tmpl w:val="5272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F60CD8"/>
    <w:multiLevelType w:val="hybridMultilevel"/>
    <w:tmpl w:val="DA6E4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CC3C99"/>
    <w:multiLevelType w:val="hybridMultilevel"/>
    <w:tmpl w:val="989C138A"/>
    <w:lvl w:ilvl="0" w:tplc="B198956A">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5"/>
  </w:num>
  <w:num w:numId="4">
    <w:abstractNumId w:val="5"/>
  </w:num>
  <w:num w:numId="5">
    <w:abstractNumId w:val="10"/>
  </w:num>
  <w:num w:numId="6">
    <w:abstractNumId w:val="3"/>
  </w:num>
  <w:num w:numId="7">
    <w:abstractNumId w:val="7"/>
  </w:num>
  <w:num w:numId="8">
    <w:abstractNumId w:val="19"/>
  </w:num>
  <w:num w:numId="9">
    <w:abstractNumId w:val="2"/>
  </w:num>
  <w:num w:numId="10">
    <w:abstractNumId w:val="1"/>
  </w:num>
  <w:num w:numId="11">
    <w:abstractNumId w:val="18"/>
  </w:num>
  <w:num w:numId="12">
    <w:abstractNumId w:val="6"/>
  </w:num>
  <w:num w:numId="13">
    <w:abstractNumId w:val="4"/>
  </w:num>
  <w:num w:numId="14">
    <w:abstractNumId w:val="14"/>
  </w:num>
  <w:num w:numId="15">
    <w:abstractNumId w:val="11"/>
  </w:num>
  <w:num w:numId="16">
    <w:abstractNumId w:val="8"/>
  </w:num>
  <w:num w:numId="17">
    <w:abstractNumId w:val="9"/>
  </w:num>
  <w:num w:numId="18">
    <w:abstractNumId w:val="17"/>
  </w:num>
  <w:num w:numId="19">
    <w:abstractNumId w:val="1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0B3B"/>
    <w:rsid w:val="000553C2"/>
    <w:rsid w:val="00075C23"/>
    <w:rsid w:val="000B1A54"/>
    <w:rsid w:val="000E2AB8"/>
    <w:rsid w:val="000F12AC"/>
    <w:rsid w:val="000F47EE"/>
    <w:rsid w:val="001270A2"/>
    <w:rsid w:val="0013604E"/>
    <w:rsid w:val="0015225E"/>
    <w:rsid w:val="001522D0"/>
    <w:rsid w:val="00161ADD"/>
    <w:rsid w:val="001731D1"/>
    <w:rsid w:val="00175491"/>
    <w:rsid w:val="001B1672"/>
    <w:rsid w:val="001B3773"/>
    <w:rsid w:val="001C3637"/>
    <w:rsid w:val="001C64E7"/>
    <w:rsid w:val="0020289B"/>
    <w:rsid w:val="00216B34"/>
    <w:rsid w:val="00223F54"/>
    <w:rsid w:val="002316F3"/>
    <w:rsid w:val="00233170"/>
    <w:rsid w:val="00247673"/>
    <w:rsid w:val="00254338"/>
    <w:rsid w:val="00286FAE"/>
    <w:rsid w:val="002C16F9"/>
    <w:rsid w:val="00306CED"/>
    <w:rsid w:val="00321BC1"/>
    <w:rsid w:val="00323492"/>
    <w:rsid w:val="00323BA3"/>
    <w:rsid w:val="00342621"/>
    <w:rsid w:val="00353AA8"/>
    <w:rsid w:val="00355765"/>
    <w:rsid w:val="00357947"/>
    <w:rsid w:val="00366003"/>
    <w:rsid w:val="00391632"/>
    <w:rsid w:val="003A7E69"/>
    <w:rsid w:val="003B76EF"/>
    <w:rsid w:val="003C7D48"/>
    <w:rsid w:val="003D3D73"/>
    <w:rsid w:val="003F192D"/>
    <w:rsid w:val="003F1F66"/>
    <w:rsid w:val="003F7ABF"/>
    <w:rsid w:val="0042109D"/>
    <w:rsid w:val="004633F6"/>
    <w:rsid w:val="00467E84"/>
    <w:rsid w:val="004871C5"/>
    <w:rsid w:val="004A2886"/>
    <w:rsid w:val="004E48C1"/>
    <w:rsid w:val="004F514F"/>
    <w:rsid w:val="00522002"/>
    <w:rsid w:val="00526777"/>
    <w:rsid w:val="0057186A"/>
    <w:rsid w:val="00574E3C"/>
    <w:rsid w:val="005940E9"/>
    <w:rsid w:val="005A0F5D"/>
    <w:rsid w:val="005B1CC6"/>
    <w:rsid w:val="005E7930"/>
    <w:rsid w:val="00621267"/>
    <w:rsid w:val="00631FF8"/>
    <w:rsid w:val="0064347C"/>
    <w:rsid w:val="006569A4"/>
    <w:rsid w:val="00677286"/>
    <w:rsid w:val="00695161"/>
    <w:rsid w:val="006D1936"/>
    <w:rsid w:val="006E2402"/>
    <w:rsid w:val="006E7A3D"/>
    <w:rsid w:val="00703F58"/>
    <w:rsid w:val="007056E2"/>
    <w:rsid w:val="0072740F"/>
    <w:rsid w:val="0073478C"/>
    <w:rsid w:val="00745103"/>
    <w:rsid w:val="00751B9E"/>
    <w:rsid w:val="00787783"/>
    <w:rsid w:val="007900B4"/>
    <w:rsid w:val="007A4E95"/>
    <w:rsid w:val="007B1306"/>
    <w:rsid w:val="007E7130"/>
    <w:rsid w:val="0080447A"/>
    <w:rsid w:val="008057B5"/>
    <w:rsid w:val="00817276"/>
    <w:rsid w:val="00817FD1"/>
    <w:rsid w:val="008322A8"/>
    <w:rsid w:val="00845D03"/>
    <w:rsid w:val="0086478D"/>
    <w:rsid w:val="008B1BC2"/>
    <w:rsid w:val="008B5FD1"/>
    <w:rsid w:val="008B69A1"/>
    <w:rsid w:val="008D6425"/>
    <w:rsid w:val="008E66A3"/>
    <w:rsid w:val="009059C4"/>
    <w:rsid w:val="00917334"/>
    <w:rsid w:val="009270CE"/>
    <w:rsid w:val="0094250B"/>
    <w:rsid w:val="009505D0"/>
    <w:rsid w:val="00971CD1"/>
    <w:rsid w:val="009A48E7"/>
    <w:rsid w:val="009C2B9E"/>
    <w:rsid w:val="009D1001"/>
    <w:rsid w:val="00A33DF8"/>
    <w:rsid w:val="00A534C4"/>
    <w:rsid w:val="00A5553E"/>
    <w:rsid w:val="00AC243F"/>
    <w:rsid w:val="00AF1577"/>
    <w:rsid w:val="00B05A7F"/>
    <w:rsid w:val="00B13A4E"/>
    <w:rsid w:val="00BB21C0"/>
    <w:rsid w:val="00BB7AD7"/>
    <w:rsid w:val="00BC09A6"/>
    <w:rsid w:val="00BC4316"/>
    <w:rsid w:val="00C10270"/>
    <w:rsid w:val="00C131A8"/>
    <w:rsid w:val="00C15E0C"/>
    <w:rsid w:val="00C303BA"/>
    <w:rsid w:val="00C44E14"/>
    <w:rsid w:val="00C70F0A"/>
    <w:rsid w:val="00C840BA"/>
    <w:rsid w:val="00CD3B25"/>
    <w:rsid w:val="00CD43AD"/>
    <w:rsid w:val="00CE3449"/>
    <w:rsid w:val="00CF2ADE"/>
    <w:rsid w:val="00D01C5F"/>
    <w:rsid w:val="00D12505"/>
    <w:rsid w:val="00D2622A"/>
    <w:rsid w:val="00D30A82"/>
    <w:rsid w:val="00D35DED"/>
    <w:rsid w:val="00D56C18"/>
    <w:rsid w:val="00D57E50"/>
    <w:rsid w:val="00D778E5"/>
    <w:rsid w:val="00DC5E54"/>
    <w:rsid w:val="00DD40DF"/>
    <w:rsid w:val="00E215AA"/>
    <w:rsid w:val="00E372C1"/>
    <w:rsid w:val="00E55D0C"/>
    <w:rsid w:val="00E5640C"/>
    <w:rsid w:val="00E77D8B"/>
    <w:rsid w:val="00E82EFB"/>
    <w:rsid w:val="00EB0F2B"/>
    <w:rsid w:val="00F072CD"/>
    <w:rsid w:val="00F25111"/>
    <w:rsid w:val="00F54C88"/>
    <w:rsid w:val="00F65B3E"/>
    <w:rsid w:val="00F815CD"/>
    <w:rsid w:val="00FA08B5"/>
    <w:rsid w:val="00FD5A4D"/>
    <w:rsid w:val="00FF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1727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1727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C3637"/>
    <w:rPr>
      <w:color w:val="0000FF" w:themeColor="hyperlink"/>
      <w:u w:val="single"/>
    </w:rPr>
  </w:style>
  <w:style w:type="character" w:customStyle="1" w:styleId="Heading1Char">
    <w:name w:val="Heading 1 Char"/>
    <w:basedOn w:val="DefaultParagraphFont"/>
    <w:link w:val="Heading1"/>
    <w:uiPriority w:val="9"/>
    <w:rsid w:val="0081727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17276"/>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1727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17276"/>
  </w:style>
  <w:style w:type="character" w:customStyle="1" w:styleId="apple-converted-space">
    <w:name w:val="apple-converted-space"/>
    <w:basedOn w:val="DefaultParagraphFont"/>
    <w:rsid w:val="00817276"/>
  </w:style>
  <w:style w:type="paragraph" w:customStyle="1" w:styleId="CM110">
    <w:name w:val="CM110"/>
    <w:basedOn w:val="Normal"/>
    <w:next w:val="Normal"/>
    <w:uiPriority w:val="99"/>
    <w:rsid w:val="0064347C"/>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ssWvuHIZn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signresourcebox.com/an-awesome-collection-typography-tutori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reativebloq.com/graphic-design-tips/typography-tutorials-1232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BF7FE6-8739-4554-A7B0-A20AC90A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22</cp:revision>
  <cp:lastPrinted>2012-03-22T17:48:00Z</cp:lastPrinted>
  <dcterms:created xsi:type="dcterms:W3CDTF">2012-09-17T19:52:00Z</dcterms:created>
  <dcterms:modified xsi:type="dcterms:W3CDTF">2013-05-01T17:16:00Z</dcterms:modified>
</cp:coreProperties>
</file>