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23D7D" w:rsidRDefault="00023D7D" w:rsidP="00023D7D">
            <w:pPr>
              <w:autoSpaceDE w:val="0"/>
              <w:autoSpaceDN w:val="0"/>
              <w:adjustRightInd w:val="0"/>
              <w:spacing w:after="0" w:line="240" w:lineRule="auto"/>
              <w:rPr>
                <w:rFonts w:cs="Tahoma"/>
              </w:rPr>
            </w:pPr>
            <w:r w:rsidRPr="00461AF3">
              <w:rPr>
                <w:rFonts w:cs="Tahoma"/>
              </w:rPr>
              <w:t xml:space="preserve">The Greenhouse Operation and Management course develops a basic understanding of greenhouse techniques. The production of greenhouse crops will be used to demonstrate procedures such as plants started from cuttings, seeds, grafts, and layering. Students will manage their own crop as a greenhouse project. (CD 016765, CIP 01.0604) </w:t>
            </w:r>
          </w:p>
          <w:p w:rsidR="00023D7D" w:rsidRDefault="00023D7D" w:rsidP="00023D7D">
            <w:pPr>
              <w:autoSpaceDE w:val="0"/>
              <w:autoSpaceDN w:val="0"/>
              <w:adjustRightInd w:val="0"/>
              <w:spacing w:after="0" w:line="240" w:lineRule="auto"/>
              <w:rPr>
                <w:rFonts w:cs="Tahoma"/>
              </w:rPr>
            </w:pPr>
          </w:p>
          <w:p w:rsidR="00023D7D" w:rsidRPr="00461AF3" w:rsidRDefault="00023D7D" w:rsidP="00023D7D">
            <w:pPr>
              <w:autoSpaceDE w:val="0"/>
              <w:autoSpaceDN w:val="0"/>
              <w:adjustRightInd w:val="0"/>
              <w:spacing w:after="0" w:line="240" w:lineRule="auto"/>
              <w:rPr>
                <w:rFonts w:cs="Tahoma"/>
              </w:rPr>
            </w:pPr>
            <w:r w:rsidRPr="00461AF3">
              <w:rPr>
                <w:rFonts w:cs="Tahoma"/>
              </w:rPr>
              <w:t>Course Rationale – Agriculture encompasses the food, fiber, conservation and natural resource systems, employing over 20% of the nation’s workforce. Cutting, seeding, grafting, layering, and management of a greenhouse provide entry level and entrepreneurial opportunities for students with an interest in horticulture.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85"/>
        <w:gridCol w:w="2598"/>
        <w:gridCol w:w="206"/>
        <w:gridCol w:w="1144"/>
        <w:gridCol w:w="694"/>
        <w:gridCol w:w="1374"/>
        <w:gridCol w:w="1438"/>
        <w:gridCol w:w="809"/>
      </w:tblGrid>
      <w:tr w:rsidR="00DD40DF" w:rsidRPr="00DD40DF" w:rsidTr="00A04639">
        <w:tc>
          <w:tcPr>
            <w:tcW w:w="7511"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6876F8" w:rsidP="006876F8">
            <w:pPr>
              <w:spacing w:line="240" w:lineRule="auto"/>
              <w:rPr>
                <w:b/>
              </w:rPr>
            </w:pPr>
            <w:r>
              <w:t>Students will learn about greenhouse pests and diseases, as well as their impact on a greenhouse.</w:t>
            </w:r>
            <w:bookmarkStart w:id="0" w:name="_GoBack"/>
            <w:bookmarkEnd w:id="0"/>
          </w:p>
        </w:tc>
        <w:tc>
          <w:tcPr>
            <w:tcW w:w="5665"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04639">
              <w:rPr>
                <w:b/>
              </w:rPr>
              <w:t>7 Days</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A04639" w:rsidRPr="003C0422" w:rsidRDefault="00A04639" w:rsidP="00A04639">
            <w:pPr>
              <w:spacing w:line="240" w:lineRule="auto"/>
              <w:rPr>
                <w:rFonts w:cs="Calibri"/>
              </w:rPr>
            </w:pPr>
            <w:r w:rsidRPr="003C0422">
              <w:rPr>
                <w:rFonts w:cs="Calibri"/>
              </w:rPr>
              <w:t>1.  What are greenhouse pests and diseases?</w:t>
            </w:r>
          </w:p>
          <w:p w:rsidR="00DD40DF" w:rsidRPr="00C44E14" w:rsidRDefault="00A04639" w:rsidP="00A04639">
            <w:pPr>
              <w:spacing w:line="240" w:lineRule="auto"/>
              <w:rPr>
                <w:b/>
              </w:rPr>
            </w:pPr>
            <w:r w:rsidRPr="003C0422">
              <w:rPr>
                <w:rFonts w:cs="Calibri"/>
              </w:rPr>
              <w:t>2.  How do greenhouse pests and diseases affect the greenhouse?</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A04639">
        <w:trPr>
          <w:trHeight w:val="467"/>
        </w:trPr>
        <w:tc>
          <w:tcPr>
            <w:tcW w:w="491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59" w:type="dxa"/>
            <w:gridSpan w:val="5"/>
          </w:tcPr>
          <w:p w:rsidR="008322A8" w:rsidRPr="00C44E14" w:rsidRDefault="008322A8" w:rsidP="00C44E14">
            <w:pPr>
              <w:spacing w:line="240" w:lineRule="auto"/>
              <w:jc w:val="center"/>
              <w:rPr>
                <w:b/>
              </w:rPr>
            </w:pPr>
            <w:r w:rsidRPr="00C44E14">
              <w:rPr>
                <w:b/>
              </w:rPr>
              <w:t>CROSSWALK TO STANDARDS</w:t>
            </w:r>
          </w:p>
        </w:tc>
      </w:tr>
      <w:tr w:rsidR="00321BC1" w:rsidTr="00A04639">
        <w:trPr>
          <w:trHeight w:val="466"/>
        </w:trPr>
        <w:tc>
          <w:tcPr>
            <w:tcW w:w="4913" w:type="dxa"/>
            <w:gridSpan w:val="2"/>
            <w:vMerge/>
          </w:tcPr>
          <w:p w:rsidR="00321BC1" w:rsidRPr="00C44E14" w:rsidRDefault="00321BC1" w:rsidP="00C44E14">
            <w:pPr>
              <w:spacing w:line="240" w:lineRule="auto"/>
              <w:jc w:val="center"/>
              <w:rPr>
                <w:b/>
              </w:rPr>
            </w:pPr>
          </w:p>
        </w:tc>
        <w:tc>
          <w:tcPr>
            <w:tcW w:w="280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4" w:type="dxa"/>
            <w:shd w:val="clear" w:color="auto" w:fill="auto"/>
          </w:tcPr>
          <w:p w:rsidR="00321BC1" w:rsidRPr="00C44E14" w:rsidRDefault="00321BC1" w:rsidP="00C44E14">
            <w:pPr>
              <w:spacing w:line="240" w:lineRule="auto"/>
              <w:jc w:val="center"/>
              <w:rPr>
                <w:b/>
              </w:rPr>
            </w:pPr>
            <w:r w:rsidRPr="00C44E14">
              <w:rPr>
                <w:b/>
              </w:rPr>
              <w:t>PS</w:t>
            </w:r>
          </w:p>
        </w:tc>
        <w:tc>
          <w:tcPr>
            <w:tcW w:w="1374" w:type="dxa"/>
          </w:tcPr>
          <w:p w:rsidR="00321BC1" w:rsidRPr="00C44E14" w:rsidRDefault="00321BC1" w:rsidP="00C44E14">
            <w:pPr>
              <w:spacing w:line="240" w:lineRule="auto"/>
              <w:jc w:val="center"/>
              <w:rPr>
                <w:b/>
              </w:rPr>
            </w:pPr>
            <w:r w:rsidRPr="00C44E14">
              <w:rPr>
                <w:b/>
              </w:rPr>
              <w:t>CCSS</w:t>
            </w:r>
          </w:p>
        </w:tc>
        <w:tc>
          <w:tcPr>
            <w:tcW w:w="1438" w:type="dxa"/>
          </w:tcPr>
          <w:p w:rsidR="00321BC1" w:rsidRPr="00C44E14" w:rsidRDefault="00A04639" w:rsidP="00C44E14">
            <w:pPr>
              <w:spacing w:line="240" w:lineRule="auto"/>
              <w:jc w:val="center"/>
              <w:rPr>
                <w:b/>
              </w:rPr>
            </w:pPr>
            <w:r>
              <w:rPr>
                <w:b/>
              </w:rPr>
              <w:t>AFNR Standards</w:t>
            </w:r>
          </w:p>
        </w:tc>
        <w:tc>
          <w:tcPr>
            <w:tcW w:w="809" w:type="dxa"/>
          </w:tcPr>
          <w:p w:rsidR="00321BC1" w:rsidRPr="00C44E14" w:rsidRDefault="00321BC1" w:rsidP="00C44E14">
            <w:pPr>
              <w:spacing w:line="240" w:lineRule="auto"/>
              <w:jc w:val="center"/>
              <w:rPr>
                <w:b/>
              </w:rPr>
            </w:pPr>
            <w:r w:rsidRPr="00C44E14">
              <w:rPr>
                <w:b/>
              </w:rPr>
              <w:t>DOK</w:t>
            </w:r>
          </w:p>
        </w:tc>
      </w:tr>
      <w:tr w:rsidR="00A04639" w:rsidTr="00A04639">
        <w:trPr>
          <w:trHeight w:val="466"/>
        </w:trPr>
        <w:tc>
          <w:tcPr>
            <w:tcW w:w="4913" w:type="dxa"/>
            <w:gridSpan w:val="2"/>
          </w:tcPr>
          <w:p w:rsidR="00A04639" w:rsidRPr="00C95D93" w:rsidRDefault="00A04639" w:rsidP="00A04639">
            <w:pPr>
              <w:pStyle w:val="ListParagraph"/>
              <w:numPr>
                <w:ilvl w:val="0"/>
                <w:numId w:val="19"/>
              </w:numPr>
              <w:tabs>
                <w:tab w:val="left" w:pos="330"/>
              </w:tabs>
              <w:spacing w:after="0" w:line="240" w:lineRule="auto"/>
            </w:pPr>
            <w:r w:rsidRPr="00A04639">
              <w:rPr>
                <w:rFonts w:ascii="Times New Roman" w:hAnsi="Times New Roman"/>
              </w:rPr>
              <w:t xml:space="preserve">Identify pests and diseases in the greenhouse and factors that contribute to their presence. </w:t>
            </w:r>
          </w:p>
        </w:tc>
        <w:tc>
          <w:tcPr>
            <w:tcW w:w="2804" w:type="dxa"/>
            <w:gridSpan w:val="2"/>
          </w:tcPr>
          <w:p w:rsidR="00A04639" w:rsidRPr="00C44E14" w:rsidRDefault="00A04639" w:rsidP="005A0F5D">
            <w:pPr>
              <w:spacing w:after="0" w:line="240" w:lineRule="auto"/>
              <w:rPr>
                <w:b/>
              </w:rPr>
            </w:pPr>
          </w:p>
        </w:tc>
        <w:tc>
          <w:tcPr>
            <w:tcW w:w="1144" w:type="dxa"/>
            <w:shd w:val="clear" w:color="auto" w:fill="auto"/>
          </w:tcPr>
          <w:p w:rsidR="00A04639" w:rsidRPr="00C44E14" w:rsidRDefault="00A04639" w:rsidP="005A0F5D">
            <w:pPr>
              <w:spacing w:after="0" w:line="240" w:lineRule="auto"/>
              <w:rPr>
                <w:b/>
              </w:rPr>
            </w:pPr>
          </w:p>
        </w:tc>
        <w:tc>
          <w:tcPr>
            <w:tcW w:w="694" w:type="dxa"/>
            <w:shd w:val="clear" w:color="auto" w:fill="auto"/>
          </w:tcPr>
          <w:p w:rsidR="00A04639" w:rsidRPr="00C44E14" w:rsidRDefault="00A04639" w:rsidP="005A0F5D">
            <w:pPr>
              <w:spacing w:after="0" w:line="240" w:lineRule="auto"/>
              <w:rPr>
                <w:b/>
              </w:rPr>
            </w:pPr>
          </w:p>
        </w:tc>
        <w:tc>
          <w:tcPr>
            <w:tcW w:w="1374" w:type="dxa"/>
            <w:shd w:val="clear" w:color="auto" w:fill="auto"/>
          </w:tcPr>
          <w:p w:rsidR="00A04639" w:rsidRPr="00C95D93" w:rsidRDefault="00A04639" w:rsidP="001412E4">
            <w:pPr>
              <w:spacing w:after="0" w:line="240" w:lineRule="auto"/>
              <w:jc w:val="center"/>
            </w:pPr>
            <w:r>
              <w:t>RST11-12.9</w:t>
            </w:r>
          </w:p>
        </w:tc>
        <w:tc>
          <w:tcPr>
            <w:tcW w:w="1438" w:type="dxa"/>
            <w:shd w:val="clear" w:color="auto" w:fill="auto"/>
          </w:tcPr>
          <w:p w:rsidR="00A04639" w:rsidRPr="00C95D93" w:rsidRDefault="00A04639" w:rsidP="001412E4">
            <w:pPr>
              <w:spacing w:after="0" w:line="240" w:lineRule="auto"/>
              <w:jc w:val="center"/>
            </w:pPr>
            <w:r w:rsidRPr="00C95D93">
              <w:t>PS.03.03.01.b</w:t>
            </w:r>
          </w:p>
          <w:p w:rsidR="00A04639" w:rsidRPr="00C95D93" w:rsidRDefault="00A04639" w:rsidP="001412E4">
            <w:pPr>
              <w:spacing w:after="0" w:line="240" w:lineRule="auto"/>
              <w:jc w:val="center"/>
            </w:pPr>
            <w:r w:rsidRPr="00C95D93">
              <w:t>PS.03.03.02.a</w:t>
            </w:r>
          </w:p>
          <w:p w:rsidR="00A04639" w:rsidRPr="00C95D93" w:rsidRDefault="00A04639" w:rsidP="001412E4">
            <w:pPr>
              <w:spacing w:after="0" w:line="240" w:lineRule="auto"/>
              <w:jc w:val="center"/>
            </w:pPr>
          </w:p>
        </w:tc>
        <w:tc>
          <w:tcPr>
            <w:tcW w:w="809" w:type="dxa"/>
            <w:shd w:val="clear" w:color="auto" w:fill="auto"/>
          </w:tcPr>
          <w:p w:rsidR="00A04639" w:rsidRPr="00C95D93" w:rsidRDefault="00A04639" w:rsidP="001412E4">
            <w:pPr>
              <w:spacing w:after="0" w:line="240" w:lineRule="auto"/>
              <w:jc w:val="center"/>
            </w:pPr>
            <w:r w:rsidRPr="00C95D93">
              <w:t>1</w:t>
            </w:r>
          </w:p>
        </w:tc>
      </w:tr>
      <w:tr w:rsidR="00A04639" w:rsidTr="00A04639">
        <w:trPr>
          <w:trHeight w:val="466"/>
        </w:trPr>
        <w:tc>
          <w:tcPr>
            <w:tcW w:w="4913" w:type="dxa"/>
            <w:gridSpan w:val="2"/>
          </w:tcPr>
          <w:p w:rsidR="00A04639" w:rsidRPr="00A04639" w:rsidRDefault="00A04639" w:rsidP="00A04639">
            <w:pPr>
              <w:pStyle w:val="ListParagraph"/>
              <w:numPr>
                <w:ilvl w:val="0"/>
                <w:numId w:val="19"/>
              </w:numPr>
              <w:tabs>
                <w:tab w:val="left" w:pos="330"/>
              </w:tabs>
              <w:spacing w:after="0" w:line="240" w:lineRule="auto"/>
              <w:rPr>
                <w:rFonts w:ascii="Times New Roman" w:hAnsi="Times New Roman"/>
              </w:rPr>
            </w:pPr>
            <w:r w:rsidRPr="00A04639">
              <w:rPr>
                <w:rFonts w:ascii="Times New Roman" w:hAnsi="Times New Roman"/>
              </w:rPr>
              <w:t>Differentiate between various pest management methods.</w:t>
            </w:r>
          </w:p>
        </w:tc>
        <w:tc>
          <w:tcPr>
            <w:tcW w:w="2804" w:type="dxa"/>
            <w:gridSpan w:val="2"/>
          </w:tcPr>
          <w:p w:rsidR="00A04639" w:rsidRPr="00C44E14" w:rsidRDefault="00A04639" w:rsidP="005A0F5D">
            <w:pPr>
              <w:spacing w:after="0" w:line="240" w:lineRule="auto"/>
              <w:rPr>
                <w:b/>
              </w:rPr>
            </w:pPr>
          </w:p>
        </w:tc>
        <w:tc>
          <w:tcPr>
            <w:tcW w:w="1144" w:type="dxa"/>
            <w:shd w:val="clear" w:color="auto" w:fill="auto"/>
          </w:tcPr>
          <w:p w:rsidR="00A04639" w:rsidRPr="00C44E14" w:rsidRDefault="00A04639" w:rsidP="005A0F5D">
            <w:pPr>
              <w:spacing w:after="0" w:line="240" w:lineRule="auto"/>
              <w:rPr>
                <w:b/>
              </w:rPr>
            </w:pPr>
          </w:p>
        </w:tc>
        <w:tc>
          <w:tcPr>
            <w:tcW w:w="694" w:type="dxa"/>
            <w:shd w:val="clear" w:color="auto" w:fill="auto"/>
          </w:tcPr>
          <w:p w:rsidR="00A04639" w:rsidRPr="00C44E14" w:rsidRDefault="00A04639" w:rsidP="005A0F5D">
            <w:pPr>
              <w:spacing w:after="0" w:line="240" w:lineRule="auto"/>
              <w:rPr>
                <w:b/>
              </w:rPr>
            </w:pPr>
          </w:p>
        </w:tc>
        <w:tc>
          <w:tcPr>
            <w:tcW w:w="1374" w:type="dxa"/>
            <w:shd w:val="clear" w:color="auto" w:fill="auto"/>
          </w:tcPr>
          <w:p w:rsidR="00A04639" w:rsidRPr="00C95D93" w:rsidRDefault="00A04639" w:rsidP="001412E4">
            <w:pPr>
              <w:spacing w:after="0" w:line="240" w:lineRule="auto"/>
              <w:jc w:val="center"/>
            </w:pPr>
            <w:r>
              <w:t>RST</w:t>
            </w:r>
            <w:r w:rsidRPr="00C95D93">
              <w:t>11-12.1</w:t>
            </w:r>
          </w:p>
          <w:p w:rsidR="00A04639" w:rsidRPr="00C95D93" w:rsidRDefault="00A04639" w:rsidP="001412E4">
            <w:pPr>
              <w:spacing w:after="0" w:line="240" w:lineRule="auto"/>
              <w:jc w:val="center"/>
            </w:pPr>
            <w:r w:rsidRPr="00C95D93">
              <w:t>RST11-12.4</w:t>
            </w:r>
          </w:p>
          <w:p w:rsidR="00A04639" w:rsidRPr="00C95D93" w:rsidRDefault="00A04639" w:rsidP="001412E4">
            <w:pPr>
              <w:spacing w:after="0" w:line="240" w:lineRule="auto"/>
              <w:jc w:val="center"/>
            </w:pPr>
            <w:r w:rsidRPr="00C95D93">
              <w:t>RST11-12.7</w:t>
            </w:r>
          </w:p>
        </w:tc>
        <w:tc>
          <w:tcPr>
            <w:tcW w:w="1438" w:type="dxa"/>
            <w:shd w:val="clear" w:color="auto" w:fill="auto"/>
          </w:tcPr>
          <w:p w:rsidR="00A04639" w:rsidRPr="00C95D93" w:rsidRDefault="00A04639" w:rsidP="001412E4">
            <w:pPr>
              <w:spacing w:after="0" w:line="240" w:lineRule="auto"/>
              <w:jc w:val="center"/>
            </w:pPr>
            <w:r w:rsidRPr="00C95D93">
              <w:t>PS.03.03.03.a</w:t>
            </w:r>
          </w:p>
          <w:p w:rsidR="00A04639" w:rsidRPr="00C95D93" w:rsidRDefault="00A04639" w:rsidP="001412E4">
            <w:pPr>
              <w:spacing w:after="0" w:line="240" w:lineRule="auto"/>
              <w:jc w:val="center"/>
            </w:pPr>
            <w:r w:rsidRPr="00C95D93">
              <w:t>PS.03.03.03.b</w:t>
            </w:r>
          </w:p>
          <w:p w:rsidR="00A04639" w:rsidRPr="00C95D93" w:rsidRDefault="00A04639" w:rsidP="001412E4">
            <w:pPr>
              <w:spacing w:after="0" w:line="240" w:lineRule="auto"/>
              <w:jc w:val="center"/>
            </w:pPr>
          </w:p>
        </w:tc>
        <w:tc>
          <w:tcPr>
            <w:tcW w:w="809" w:type="dxa"/>
            <w:shd w:val="clear" w:color="auto" w:fill="auto"/>
          </w:tcPr>
          <w:p w:rsidR="00A04639" w:rsidRPr="00C95D93" w:rsidRDefault="00A04639" w:rsidP="001412E4">
            <w:pPr>
              <w:spacing w:after="0" w:line="240" w:lineRule="auto"/>
              <w:jc w:val="center"/>
            </w:pPr>
            <w:r w:rsidRPr="00C95D93">
              <w:t>2</w:t>
            </w:r>
          </w:p>
        </w:tc>
      </w:tr>
      <w:tr w:rsidR="00A04639" w:rsidTr="00A04639">
        <w:trPr>
          <w:trHeight w:val="466"/>
        </w:trPr>
        <w:tc>
          <w:tcPr>
            <w:tcW w:w="4913" w:type="dxa"/>
            <w:gridSpan w:val="2"/>
          </w:tcPr>
          <w:p w:rsidR="00A04639" w:rsidRPr="00A04639" w:rsidRDefault="00A04639" w:rsidP="00A04639">
            <w:pPr>
              <w:pStyle w:val="ListParagraph"/>
              <w:numPr>
                <w:ilvl w:val="0"/>
                <w:numId w:val="19"/>
              </w:numPr>
              <w:tabs>
                <w:tab w:val="left" w:pos="330"/>
              </w:tabs>
              <w:spacing w:after="0" w:line="240" w:lineRule="auto"/>
              <w:rPr>
                <w:rFonts w:ascii="Times New Roman" w:hAnsi="Times New Roman"/>
              </w:rPr>
            </w:pPr>
            <w:r w:rsidRPr="00A04639">
              <w:rPr>
                <w:rFonts w:ascii="Times New Roman" w:hAnsi="Times New Roman"/>
              </w:rPr>
              <w:t>Explain safe usage and application of pesticides.</w:t>
            </w:r>
          </w:p>
        </w:tc>
        <w:tc>
          <w:tcPr>
            <w:tcW w:w="2804" w:type="dxa"/>
            <w:gridSpan w:val="2"/>
          </w:tcPr>
          <w:p w:rsidR="00A04639" w:rsidRPr="00C44E14" w:rsidRDefault="00A04639" w:rsidP="005A0F5D">
            <w:pPr>
              <w:spacing w:after="0" w:line="240" w:lineRule="auto"/>
              <w:rPr>
                <w:b/>
              </w:rPr>
            </w:pPr>
          </w:p>
        </w:tc>
        <w:tc>
          <w:tcPr>
            <w:tcW w:w="1144" w:type="dxa"/>
            <w:shd w:val="clear" w:color="auto" w:fill="auto"/>
          </w:tcPr>
          <w:p w:rsidR="00A04639" w:rsidRPr="00C44E14" w:rsidRDefault="00A04639" w:rsidP="005A0F5D">
            <w:pPr>
              <w:spacing w:after="0" w:line="240" w:lineRule="auto"/>
              <w:rPr>
                <w:b/>
              </w:rPr>
            </w:pPr>
          </w:p>
        </w:tc>
        <w:tc>
          <w:tcPr>
            <w:tcW w:w="694" w:type="dxa"/>
            <w:shd w:val="clear" w:color="auto" w:fill="auto"/>
          </w:tcPr>
          <w:p w:rsidR="00A04639" w:rsidRPr="00C44E14" w:rsidRDefault="00A04639" w:rsidP="005A0F5D">
            <w:pPr>
              <w:spacing w:after="0" w:line="240" w:lineRule="auto"/>
              <w:rPr>
                <w:b/>
              </w:rPr>
            </w:pPr>
          </w:p>
        </w:tc>
        <w:tc>
          <w:tcPr>
            <w:tcW w:w="1374" w:type="dxa"/>
            <w:shd w:val="clear" w:color="auto" w:fill="auto"/>
          </w:tcPr>
          <w:p w:rsidR="00A04639" w:rsidRPr="00C95D93" w:rsidRDefault="00A04639" w:rsidP="001412E4">
            <w:pPr>
              <w:spacing w:after="0" w:line="240" w:lineRule="auto"/>
              <w:jc w:val="center"/>
            </w:pPr>
            <w:r w:rsidRPr="00C95D93">
              <w:t>RST1-12.1</w:t>
            </w:r>
          </w:p>
          <w:p w:rsidR="00A04639" w:rsidRPr="00C95D93" w:rsidRDefault="00A04639" w:rsidP="001412E4">
            <w:pPr>
              <w:spacing w:after="0" w:line="240" w:lineRule="auto"/>
              <w:jc w:val="center"/>
            </w:pPr>
            <w:r>
              <w:t>RST</w:t>
            </w:r>
            <w:r w:rsidRPr="00C95D93">
              <w:t>11-12.4</w:t>
            </w:r>
          </w:p>
          <w:p w:rsidR="00A04639" w:rsidRDefault="00A04639" w:rsidP="001412E4">
            <w:pPr>
              <w:spacing w:after="0" w:line="240" w:lineRule="auto"/>
              <w:jc w:val="center"/>
            </w:pPr>
            <w:r w:rsidRPr="00C95D93">
              <w:t>RST11-12.7</w:t>
            </w:r>
          </w:p>
          <w:p w:rsidR="00A04639" w:rsidRPr="00C95D93" w:rsidRDefault="00A04639" w:rsidP="001412E4">
            <w:pPr>
              <w:spacing w:after="0" w:line="240" w:lineRule="auto"/>
              <w:jc w:val="center"/>
            </w:pPr>
            <w:r>
              <w:t>SL11-12.4</w:t>
            </w:r>
          </w:p>
          <w:p w:rsidR="00A04639" w:rsidRPr="00C95D93" w:rsidRDefault="00A04639" w:rsidP="001412E4">
            <w:pPr>
              <w:spacing w:after="0" w:line="240" w:lineRule="auto"/>
              <w:jc w:val="center"/>
            </w:pPr>
            <w:r w:rsidRPr="00C95D93">
              <w:t>A-REI.4</w:t>
            </w:r>
          </w:p>
          <w:p w:rsidR="00A04639" w:rsidRPr="00C95D93" w:rsidRDefault="00A04639" w:rsidP="001412E4">
            <w:pPr>
              <w:spacing w:after="0" w:line="240" w:lineRule="auto"/>
              <w:jc w:val="center"/>
            </w:pPr>
            <w:r w:rsidRPr="00C95D93">
              <w:t>G-MG.2</w:t>
            </w:r>
          </w:p>
        </w:tc>
        <w:tc>
          <w:tcPr>
            <w:tcW w:w="1438" w:type="dxa"/>
            <w:shd w:val="clear" w:color="auto" w:fill="auto"/>
          </w:tcPr>
          <w:p w:rsidR="00A04639" w:rsidRPr="00C95D93" w:rsidRDefault="00A04639" w:rsidP="001412E4">
            <w:pPr>
              <w:spacing w:after="0" w:line="240" w:lineRule="auto"/>
              <w:jc w:val="center"/>
            </w:pPr>
            <w:r w:rsidRPr="00C95D93">
              <w:t>PS.03.03.04.a</w:t>
            </w:r>
          </w:p>
          <w:p w:rsidR="00A04639" w:rsidRPr="00C95D93" w:rsidRDefault="00A04639" w:rsidP="001412E4">
            <w:pPr>
              <w:spacing w:after="0" w:line="240" w:lineRule="auto"/>
              <w:jc w:val="center"/>
            </w:pPr>
            <w:r w:rsidRPr="00C95D93">
              <w:t>PS.03.03.04.b</w:t>
            </w:r>
          </w:p>
        </w:tc>
        <w:tc>
          <w:tcPr>
            <w:tcW w:w="809" w:type="dxa"/>
            <w:shd w:val="clear" w:color="auto" w:fill="auto"/>
          </w:tcPr>
          <w:p w:rsidR="00A04639" w:rsidRPr="00C95D93" w:rsidRDefault="00A04639" w:rsidP="001412E4">
            <w:pPr>
              <w:spacing w:after="0" w:line="240" w:lineRule="auto"/>
              <w:jc w:val="center"/>
            </w:pPr>
            <w:r w:rsidRPr="00C95D93">
              <w:t>3</w:t>
            </w:r>
          </w:p>
        </w:tc>
      </w:tr>
      <w:tr w:rsidR="00A04639" w:rsidTr="00A04639">
        <w:trPr>
          <w:trHeight w:val="466"/>
        </w:trPr>
        <w:tc>
          <w:tcPr>
            <w:tcW w:w="4913" w:type="dxa"/>
            <w:gridSpan w:val="2"/>
          </w:tcPr>
          <w:p w:rsidR="00A04639" w:rsidRPr="00A04639" w:rsidRDefault="00A04639" w:rsidP="00A04639">
            <w:pPr>
              <w:pStyle w:val="ListParagraph"/>
              <w:numPr>
                <w:ilvl w:val="0"/>
                <w:numId w:val="19"/>
              </w:numPr>
              <w:tabs>
                <w:tab w:val="left" w:pos="330"/>
              </w:tabs>
              <w:spacing w:after="0" w:line="240" w:lineRule="auto"/>
              <w:rPr>
                <w:rFonts w:ascii="Times New Roman" w:hAnsi="Times New Roman"/>
              </w:rPr>
            </w:pPr>
            <w:r w:rsidRPr="00A04639">
              <w:rPr>
                <w:rFonts w:ascii="Times New Roman" w:hAnsi="Times New Roman"/>
              </w:rPr>
              <w:t>Unit: Demonstrate an understanding of a plant pest and disease by writing a report on each that describes the pest and disease and identifies the control method.</w:t>
            </w:r>
          </w:p>
        </w:tc>
        <w:tc>
          <w:tcPr>
            <w:tcW w:w="2804" w:type="dxa"/>
            <w:gridSpan w:val="2"/>
          </w:tcPr>
          <w:p w:rsidR="00A04639" w:rsidRPr="00C44E14" w:rsidRDefault="00A04639" w:rsidP="005A0F5D">
            <w:pPr>
              <w:spacing w:after="0" w:line="240" w:lineRule="auto"/>
              <w:rPr>
                <w:b/>
              </w:rPr>
            </w:pPr>
          </w:p>
        </w:tc>
        <w:tc>
          <w:tcPr>
            <w:tcW w:w="1144" w:type="dxa"/>
            <w:shd w:val="clear" w:color="auto" w:fill="auto"/>
          </w:tcPr>
          <w:p w:rsidR="00A04639" w:rsidRPr="00C44E14" w:rsidRDefault="00A04639" w:rsidP="005A0F5D">
            <w:pPr>
              <w:spacing w:after="0" w:line="240" w:lineRule="auto"/>
              <w:rPr>
                <w:b/>
              </w:rPr>
            </w:pPr>
          </w:p>
        </w:tc>
        <w:tc>
          <w:tcPr>
            <w:tcW w:w="694" w:type="dxa"/>
            <w:shd w:val="clear" w:color="auto" w:fill="auto"/>
          </w:tcPr>
          <w:p w:rsidR="00A04639" w:rsidRPr="00C44E14" w:rsidRDefault="00A04639" w:rsidP="005A0F5D">
            <w:pPr>
              <w:spacing w:after="0" w:line="240" w:lineRule="auto"/>
              <w:rPr>
                <w:b/>
              </w:rPr>
            </w:pPr>
          </w:p>
        </w:tc>
        <w:tc>
          <w:tcPr>
            <w:tcW w:w="1374" w:type="dxa"/>
            <w:shd w:val="clear" w:color="auto" w:fill="auto"/>
          </w:tcPr>
          <w:p w:rsidR="00A04639" w:rsidRPr="00C95D93" w:rsidRDefault="00A04639" w:rsidP="001412E4">
            <w:pPr>
              <w:spacing w:after="0" w:line="240" w:lineRule="auto"/>
              <w:jc w:val="center"/>
            </w:pPr>
            <w:r w:rsidRPr="00C95D93">
              <w:t>RST11-12.1</w:t>
            </w:r>
          </w:p>
          <w:p w:rsidR="00A04639" w:rsidRPr="00C95D93" w:rsidRDefault="00A04639" w:rsidP="001412E4">
            <w:pPr>
              <w:spacing w:after="0" w:line="240" w:lineRule="auto"/>
              <w:jc w:val="center"/>
            </w:pPr>
            <w:r w:rsidRPr="00C95D93">
              <w:t>RST11-12.4</w:t>
            </w:r>
          </w:p>
          <w:p w:rsidR="00A04639" w:rsidRDefault="00A04639" w:rsidP="001412E4">
            <w:pPr>
              <w:spacing w:after="0" w:line="240" w:lineRule="auto"/>
              <w:jc w:val="center"/>
            </w:pPr>
            <w:r w:rsidRPr="00C95D93">
              <w:t>RST11-12.7</w:t>
            </w:r>
          </w:p>
          <w:p w:rsidR="00A04639" w:rsidRDefault="00A04639" w:rsidP="001412E4">
            <w:pPr>
              <w:spacing w:after="0" w:line="240" w:lineRule="auto"/>
              <w:jc w:val="center"/>
            </w:pPr>
            <w:r>
              <w:t>SL11-12.4</w:t>
            </w:r>
          </w:p>
          <w:p w:rsidR="00A04639" w:rsidRPr="00C95D93" w:rsidRDefault="00A04639" w:rsidP="001412E4">
            <w:pPr>
              <w:spacing w:after="0" w:line="240" w:lineRule="auto"/>
              <w:jc w:val="center"/>
            </w:pPr>
            <w:r>
              <w:t>W11-12.2</w:t>
            </w:r>
          </w:p>
        </w:tc>
        <w:tc>
          <w:tcPr>
            <w:tcW w:w="1438" w:type="dxa"/>
            <w:shd w:val="clear" w:color="auto" w:fill="auto"/>
          </w:tcPr>
          <w:p w:rsidR="00A04639" w:rsidRPr="00C95D93" w:rsidRDefault="00A04639" w:rsidP="001412E4">
            <w:pPr>
              <w:spacing w:after="0" w:line="240" w:lineRule="auto"/>
              <w:jc w:val="center"/>
            </w:pPr>
            <w:r w:rsidRPr="00C95D93">
              <w:t>PS.03.03.01.b</w:t>
            </w:r>
          </w:p>
          <w:p w:rsidR="00A04639" w:rsidRPr="00C95D93" w:rsidRDefault="00A04639" w:rsidP="001412E4">
            <w:pPr>
              <w:spacing w:after="0" w:line="240" w:lineRule="auto"/>
              <w:jc w:val="center"/>
            </w:pPr>
            <w:r w:rsidRPr="00C95D93">
              <w:t>PS.03.03.02.a</w:t>
            </w:r>
          </w:p>
          <w:p w:rsidR="00A04639" w:rsidRPr="00C95D93" w:rsidRDefault="00A04639" w:rsidP="001412E4">
            <w:pPr>
              <w:spacing w:after="0" w:line="240" w:lineRule="auto"/>
              <w:jc w:val="center"/>
            </w:pPr>
            <w:r w:rsidRPr="00C95D93">
              <w:t>PS.03.03.03.a</w:t>
            </w:r>
          </w:p>
          <w:p w:rsidR="00A04639" w:rsidRPr="00C95D93" w:rsidRDefault="00A04639" w:rsidP="001412E4">
            <w:pPr>
              <w:spacing w:after="0" w:line="240" w:lineRule="auto"/>
              <w:jc w:val="center"/>
            </w:pPr>
            <w:r w:rsidRPr="00C95D93">
              <w:t>PS.03.03.03.b</w:t>
            </w:r>
          </w:p>
          <w:p w:rsidR="00A04639" w:rsidRPr="00C95D93" w:rsidRDefault="00A04639" w:rsidP="001412E4">
            <w:pPr>
              <w:spacing w:after="0" w:line="240" w:lineRule="auto"/>
              <w:jc w:val="center"/>
            </w:pPr>
            <w:r w:rsidRPr="00C95D93">
              <w:t>PS.03.03.04.a</w:t>
            </w:r>
          </w:p>
          <w:p w:rsidR="00A04639" w:rsidRPr="00C95D93" w:rsidRDefault="00A04639" w:rsidP="001412E4">
            <w:pPr>
              <w:spacing w:after="0" w:line="240" w:lineRule="auto"/>
              <w:jc w:val="center"/>
            </w:pPr>
            <w:r w:rsidRPr="00C95D93">
              <w:lastRenderedPageBreak/>
              <w:t>PS.03.03.04.b</w:t>
            </w:r>
          </w:p>
        </w:tc>
        <w:tc>
          <w:tcPr>
            <w:tcW w:w="809" w:type="dxa"/>
            <w:shd w:val="clear" w:color="auto" w:fill="auto"/>
          </w:tcPr>
          <w:p w:rsidR="00A04639" w:rsidRPr="00C95D93" w:rsidRDefault="00A04639" w:rsidP="001412E4">
            <w:pPr>
              <w:spacing w:after="0" w:line="240" w:lineRule="auto"/>
              <w:jc w:val="center"/>
            </w:pPr>
            <w:r w:rsidRPr="00C95D93">
              <w:lastRenderedPageBreak/>
              <w:t>3</w:t>
            </w:r>
          </w:p>
          <w:p w:rsidR="00A04639" w:rsidRPr="00C95D93" w:rsidRDefault="00A04639" w:rsidP="001412E4">
            <w:pPr>
              <w:spacing w:after="0" w:line="240" w:lineRule="auto"/>
              <w:jc w:val="center"/>
            </w:pPr>
            <w:r w:rsidRPr="00C95D93">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A04639" w:rsidRPr="00E572F4" w:rsidRDefault="00A04639" w:rsidP="00A04639">
            <w:pPr>
              <w:spacing w:after="120" w:line="240" w:lineRule="auto"/>
              <w:rPr>
                <w:rFonts w:ascii="Times New Roman" w:hAnsi="Times New Roman"/>
              </w:rPr>
            </w:pPr>
            <w:r w:rsidRPr="00E572F4">
              <w:rPr>
                <w:rFonts w:ascii="Times New Roman" w:hAnsi="Times New Roman"/>
              </w:rPr>
              <w:t>Students will be assigned one plant pest and one plant disease. They will write a report on each that includes the effects the pest or disease has on the plant, warning signs the plant might exhibit to indicate the presence of the pest or disease, and a listing of any recommended treatments and their application methods. Students should include a picture with each report that illustrates the pest or disease. The reports also can be used to educate future students.</w:t>
            </w:r>
          </w:p>
          <w:p w:rsidR="00A04639" w:rsidRPr="00E572F4" w:rsidRDefault="00A04639" w:rsidP="00A04639">
            <w:pPr>
              <w:spacing w:after="120" w:line="240" w:lineRule="auto"/>
              <w:rPr>
                <w:rFonts w:ascii="Times New Roman" w:hAnsi="Times New Roman"/>
                <w:b/>
              </w:rPr>
            </w:pPr>
            <w:r w:rsidRPr="00E572F4">
              <w:rPr>
                <w:rFonts w:ascii="Times New Roman" w:hAnsi="Times New Roman"/>
              </w:rPr>
              <w:t>Assessment will be based on the overall content and presentation of the reports. Spelling, grammar, punctuation, and capitalization will also be factors in the assessment.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A04639" w:rsidP="00C44E14">
            <w:pPr>
              <w:spacing w:line="240" w:lineRule="auto"/>
              <w:rPr>
                <w:noProof/>
              </w:rPr>
            </w:pPr>
            <w:r>
              <w:rPr>
                <w:noProof/>
              </w:rPr>
              <w:t>1-3</w:t>
            </w:r>
          </w:p>
        </w:tc>
        <w:tc>
          <w:tcPr>
            <w:tcW w:w="12348" w:type="dxa"/>
            <w:gridSpan w:val="8"/>
          </w:tcPr>
          <w:p w:rsidR="00D2622A" w:rsidRPr="00A04639" w:rsidRDefault="00A04639" w:rsidP="00A04639">
            <w:pPr>
              <w:pStyle w:val="ListParagraph"/>
              <w:numPr>
                <w:ilvl w:val="0"/>
                <w:numId w:val="20"/>
              </w:numPr>
              <w:spacing w:line="240" w:lineRule="auto"/>
            </w:pPr>
            <w:r w:rsidRPr="00A04639">
              <w:t>Lecture, discussion</w:t>
            </w:r>
          </w:p>
        </w:tc>
      </w:tr>
      <w:tr w:rsidR="00D2622A" w:rsidTr="00C44E14">
        <w:trPr>
          <w:trHeight w:val="359"/>
        </w:trPr>
        <w:tc>
          <w:tcPr>
            <w:tcW w:w="828" w:type="dxa"/>
          </w:tcPr>
          <w:p w:rsidR="00D2622A" w:rsidRPr="009505D0" w:rsidRDefault="00A04639" w:rsidP="00C44E14">
            <w:pPr>
              <w:spacing w:line="240" w:lineRule="auto"/>
              <w:rPr>
                <w:noProof/>
              </w:rPr>
            </w:pPr>
            <w:r>
              <w:rPr>
                <w:noProof/>
              </w:rPr>
              <w:t>4</w:t>
            </w:r>
          </w:p>
        </w:tc>
        <w:tc>
          <w:tcPr>
            <w:tcW w:w="12348" w:type="dxa"/>
            <w:gridSpan w:val="8"/>
          </w:tcPr>
          <w:p w:rsidR="00D2622A" w:rsidRPr="00A04639" w:rsidRDefault="00A04639" w:rsidP="00A04639">
            <w:pPr>
              <w:pStyle w:val="ListParagraph"/>
              <w:numPr>
                <w:ilvl w:val="0"/>
                <w:numId w:val="20"/>
              </w:numPr>
              <w:spacing w:line="240" w:lineRule="auto"/>
            </w:pPr>
            <w:r w:rsidRPr="00A04639">
              <w:t>Demonstration</w:t>
            </w:r>
          </w:p>
        </w:tc>
      </w:tr>
      <w:tr w:rsidR="00D2622A" w:rsidTr="00C44E14">
        <w:trPr>
          <w:trHeight w:val="359"/>
        </w:trPr>
        <w:tc>
          <w:tcPr>
            <w:tcW w:w="828" w:type="dxa"/>
          </w:tcPr>
          <w:p w:rsidR="00D2622A" w:rsidRPr="009505D0" w:rsidRDefault="00D2622A" w:rsidP="00C44E14">
            <w:pPr>
              <w:spacing w:line="240" w:lineRule="auto"/>
              <w:rPr>
                <w:noProof/>
              </w:rPr>
            </w:pPr>
          </w:p>
        </w:tc>
        <w:tc>
          <w:tcPr>
            <w:tcW w:w="12348" w:type="dxa"/>
            <w:gridSpan w:val="8"/>
          </w:tcPr>
          <w:p w:rsidR="00D2622A" w:rsidRPr="00C44E14" w:rsidRDefault="00D2622A" w:rsidP="00C44E14">
            <w:pPr>
              <w:spacing w:line="240" w:lineRule="auto"/>
              <w:rPr>
                <w:b/>
              </w:rPr>
            </w:pP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A04639" w:rsidP="00C44E14">
            <w:pPr>
              <w:spacing w:line="240" w:lineRule="auto"/>
              <w:rPr>
                <w:noProof/>
              </w:rPr>
            </w:pPr>
            <w:r>
              <w:rPr>
                <w:noProof/>
              </w:rPr>
              <w:t>1-3</w:t>
            </w:r>
          </w:p>
        </w:tc>
        <w:tc>
          <w:tcPr>
            <w:tcW w:w="12348" w:type="dxa"/>
            <w:gridSpan w:val="8"/>
          </w:tcPr>
          <w:p w:rsidR="003A7E69" w:rsidRPr="00A04639" w:rsidRDefault="00A04639" w:rsidP="00C44E14">
            <w:pPr>
              <w:numPr>
                <w:ilvl w:val="0"/>
                <w:numId w:val="21"/>
              </w:numPr>
              <w:spacing w:after="120" w:line="240" w:lineRule="auto"/>
              <w:rPr>
                <w:rFonts w:ascii="Times New Roman" w:hAnsi="Times New Roman"/>
              </w:rPr>
            </w:pPr>
            <w:r w:rsidRPr="00E572F4">
              <w:rPr>
                <w:rFonts w:ascii="Times New Roman" w:hAnsi="Times New Roman"/>
              </w:rPr>
              <w:t xml:space="preserve">Students will </w:t>
            </w:r>
            <w:proofErr w:type="gramStart"/>
            <w:r>
              <w:rPr>
                <w:rFonts w:ascii="Times New Roman" w:hAnsi="Times New Roman"/>
              </w:rPr>
              <w:t>Respond</w:t>
            </w:r>
            <w:proofErr w:type="gramEnd"/>
            <w:r>
              <w:rPr>
                <w:rFonts w:ascii="Times New Roman" w:hAnsi="Times New Roman"/>
              </w:rPr>
              <w:t xml:space="preserve"> to </w:t>
            </w:r>
            <w:r w:rsidRPr="00E572F4">
              <w:rPr>
                <w:rFonts w:ascii="Times New Roman" w:hAnsi="Times New Roman"/>
              </w:rPr>
              <w:t>study questions in lessons 1 through 3.</w:t>
            </w:r>
          </w:p>
        </w:tc>
      </w:tr>
      <w:tr w:rsidR="003A7E69" w:rsidTr="00C44E14">
        <w:trPr>
          <w:trHeight w:val="466"/>
        </w:trPr>
        <w:tc>
          <w:tcPr>
            <w:tcW w:w="828" w:type="dxa"/>
          </w:tcPr>
          <w:p w:rsidR="003A7E69" w:rsidRPr="009505D0" w:rsidRDefault="00A04639" w:rsidP="00C44E14">
            <w:pPr>
              <w:spacing w:line="240" w:lineRule="auto"/>
              <w:rPr>
                <w:noProof/>
              </w:rPr>
            </w:pPr>
            <w:r>
              <w:rPr>
                <w:noProof/>
              </w:rPr>
              <w:t>4</w:t>
            </w:r>
          </w:p>
        </w:tc>
        <w:tc>
          <w:tcPr>
            <w:tcW w:w="12348" w:type="dxa"/>
            <w:gridSpan w:val="8"/>
          </w:tcPr>
          <w:p w:rsidR="003A7E69" w:rsidRPr="00A04639" w:rsidRDefault="00A04639" w:rsidP="00C44E14">
            <w:pPr>
              <w:numPr>
                <w:ilvl w:val="0"/>
                <w:numId w:val="21"/>
              </w:numPr>
              <w:spacing w:after="120" w:line="240" w:lineRule="auto"/>
              <w:rPr>
                <w:rFonts w:ascii="Times New Roman" w:hAnsi="Times New Roman"/>
              </w:rPr>
            </w:pPr>
            <w:r w:rsidRPr="00E572F4">
              <w:rPr>
                <w:rFonts w:ascii="Times New Roman" w:hAnsi="Times New Roman"/>
              </w:rPr>
              <w:t>Students will complete “AS 6.1, Path of Destruction Part I: Insects and Arachnids”; “A.S 6.2, Path of Destruction Part II: Other Pests and Diseases”; “AS 6.3, Applied Pest Management”; and “AS 6.4, Integrated Pest Management.”</w:t>
            </w:r>
          </w:p>
        </w:tc>
      </w:tr>
      <w:tr w:rsidR="003A7E69" w:rsidTr="00C44E14">
        <w:trPr>
          <w:trHeight w:val="466"/>
        </w:trPr>
        <w:tc>
          <w:tcPr>
            <w:tcW w:w="828" w:type="dxa"/>
          </w:tcPr>
          <w:p w:rsidR="003A7E69" w:rsidRPr="009505D0" w:rsidRDefault="003A7E69" w:rsidP="00C44E14">
            <w:pPr>
              <w:spacing w:line="240" w:lineRule="auto"/>
              <w:rPr>
                <w:noProof/>
              </w:rPr>
            </w:pPr>
          </w:p>
        </w:tc>
        <w:tc>
          <w:tcPr>
            <w:tcW w:w="12348" w:type="dxa"/>
            <w:gridSpan w:val="8"/>
          </w:tcPr>
          <w:p w:rsidR="003A7E69" w:rsidRPr="00C44E14" w:rsidRDefault="00A04639" w:rsidP="00C44E14">
            <w:pPr>
              <w:spacing w:line="240" w:lineRule="auto"/>
              <w:rPr>
                <w:b/>
              </w:rPr>
            </w:pPr>
            <w:r w:rsidRPr="00E572F4">
              <w:rPr>
                <w:rFonts w:ascii="Times New Roman" w:hAnsi="Times New Roman"/>
              </w:rPr>
              <w:t>Additional activities that relate to the unit objective can be found under the heading “Other Activities and Strategies” in the following locations: p. 327, p. 361 (1, 2), and p. 378 (1, 2, 3)</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E5495F" w:rsidRPr="00E572F4" w:rsidRDefault="00E5495F" w:rsidP="00E5495F">
            <w:pPr>
              <w:numPr>
                <w:ilvl w:val="1"/>
                <w:numId w:val="21"/>
              </w:numPr>
              <w:tabs>
                <w:tab w:val="clear" w:pos="1080"/>
                <w:tab w:val="num" w:pos="550"/>
              </w:tabs>
              <w:spacing w:after="0"/>
              <w:ind w:left="550" w:hanging="330"/>
              <w:rPr>
                <w:rFonts w:ascii="Times New Roman" w:hAnsi="Times New Roman"/>
              </w:rPr>
            </w:pPr>
            <w:r w:rsidRPr="00E572F4">
              <w:rPr>
                <w:rFonts w:ascii="Times New Roman" w:hAnsi="Times New Roman"/>
                <w:i/>
              </w:rPr>
              <w:t>Greenhouse Operation and Management</w:t>
            </w:r>
            <w:r w:rsidRPr="00E572F4">
              <w:rPr>
                <w:rFonts w:ascii="Times New Roman" w:hAnsi="Times New Roman"/>
              </w:rPr>
              <w:t>. University of Missouri-Columbia, Instructional Materials Laboratory, 2002.</w:t>
            </w:r>
          </w:p>
          <w:p w:rsidR="00E5495F" w:rsidRPr="00E572F4" w:rsidRDefault="00E5495F" w:rsidP="00E5495F">
            <w:pPr>
              <w:tabs>
                <w:tab w:val="num" w:pos="550"/>
              </w:tabs>
              <w:spacing w:after="0"/>
              <w:ind w:left="550" w:hanging="330"/>
              <w:rPr>
                <w:rFonts w:ascii="Times New Roman" w:hAnsi="Times New Roman"/>
                <w:szCs w:val="24"/>
              </w:rPr>
            </w:pPr>
          </w:p>
          <w:p w:rsidR="00E5495F" w:rsidRPr="00E572F4" w:rsidRDefault="00E5495F" w:rsidP="00E5495F">
            <w:pPr>
              <w:pStyle w:val="zIndent1"/>
              <w:numPr>
                <w:ilvl w:val="1"/>
                <w:numId w:val="21"/>
              </w:numPr>
              <w:tabs>
                <w:tab w:val="clear" w:pos="1080"/>
                <w:tab w:val="num" w:pos="550"/>
              </w:tabs>
              <w:ind w:left="550" w:hanging="330"/>
              <w:rPr>
                <w:rFonts w:ascii="Times New Roman" w:hAnsi="Times New Roman"/>
                <w:sz w:val="22"/>
              </w:rPr>
            </w:pPr>
            <w:r w:rsidRPr="00E572F4">
              <w:rPr>
                <w:rFonts w:ascii="Times New Roman" w:hAnsi="Times New Roman"/>
                <w:sz w:val="22"/>
              </w:rPr>
              <w:t xml:space="preserve">Insects and Diseases Publications. MU Extension. University of Missouri-Columbia. Accessed January 17, 2012, from </w:t>
            </w:r>
            <w:hyperlink r:id="rId12" w:history="1">
              <w:r w:rsidRPr="00E572F4">
                <w:rPr>
                  <w:rStyle w:val="Hyperlink"/>
                  <w:rFonts w:ascii="Times New Roman" w:hAnsi="Times New Roman"/>
                  <w:sz w:val="22"/>
                </w:rPr>
                <w:t>http://muextension.missouri.e</w:t>
              </w:r>
              <w:r w:rsidRPr="00E572F4">
                <w:rPr>
                  <w:rStyle w:val="Hyperlink"/>
                  <w:rFonts w:ascii="Times New Roman" w:hAnsi="Times New Roman"/>
                  <w:sz w:val="22"/>
                </w:rPr>
                <w:t>d</w:t>
              </w:r>
              <w:r w:rsidRPr="00E572F4">
                <w:rPr>
                  <w:rStyle w:val="Hyperlink"/>
                  <w:rFonts w:ascii="Times New Roman" w:hAnsi="Times New Roman"/>
                  <w:sz w:val="22"/>
                </w:rPr>
                <w:t>u/explo</w:t>
              </w:r>
              <w:r w:rsidRPr="00E572F4">
                <w:rPr>
                  <w:rStyle w:val="Hyperlink"/>
                  <w:rFonts w:ascii="Times New Roman" w:hAnsi="Times New Roman"/>
                  <w:sz w:val="22"/>
                </w:rPr>
                <w:t>r</w:t>
              </w:r>
              <w:r w:rsidRPr="00E572F4">
                <w:rPr>
                  <w:rStyle w:val="Hyperlink"/>
                  <w:rFonts w:ascii="Times New Roman" w:hAnsi="Times New Roman"/>
                  <w:sz w:val="22"/>
                </w:rPr>
                <w:t>e/agguides/pests/index.htm</w:t>
              </w:r>
            </w:hyperlink>
            <w:r w:rsidRPr="00E572F4">
              <w:rPr>
                <w:rFonts w:ascii="Times New Roman" w:hAnsi="Times New Roman"/>
                <w:sz w:val="22"/>
              </w:rPr>
              <w:t>.</w:t>
            </w:r>
          </w:p>
          <w:p w:rsidR="00E5495F" w:rsidRPr="00E572F4" w:rsidRDefault="00E5495F" w:rsidP="00E5495F">
            <w:pPr>
              <w:pStyle w:val="zIndent1"/>
              <w:tabs>
                <w:tab w:val="num" w:pos="550"/>
              </w:tabs>
              <w:ind w:left="550" w:hanging="330"/>
              <w:rPr>
                <w:rFonts w:ascii="Times New Roman" w:hAnsi="Times New Roman"/>
                <w:sz w:val="22"/>
                <w:szCs w:val="24"/>
              </w:rPr>
            </w:pPr>
          </w:p>
          <w:p w:rsidR="00E5495F" w:rsidRPr="00E572F4" w:rsidRDefault="00E5495F" w:rsidP="00E5495F">
            <w:pPr>
              <w:pStyle w:val="zIndent1"/>
              <w:numPr>
                <w:ilvl w:val="1"/>
                <w:numId w:val="21"/>
              </w:numPr>
              <w:tabs>
                <w:tab w:val="clear" w:pos="1080"/>
                <w:tab w:val="num" w:pos="550"/>
              </w:tabs>
              <w:ind w:left="550" w:hanging="330"/>
              <w:rPr>
                <w:rFonts w:ascii="Times New Roman" w:hAnsi="Times New Roman"/>
                <w:sz w:val="22"/>
              </w:rPr>
            </w:pPr>
            <w:r w:rsidRPr="00E572F4">
              <w:rPr>
                <w:rFonts w:ascii="Times New Roman" w:hAnsi="Times New Roman"/>
                <w:sz w:val="22"/>
              </w:rPr>
              <w:t xml:space="preserve">McKinley, M. (Ed.). </w:t>
            </w:r>
            <w:r w:rsidRPr="00E572F4">
              <w:rPr>
                <w:rFonts w:ascii="Times New Roman" w:hAnsi="Times New Roman"/>
                <w:i/>
                <w:sz w:val="22"/>
              </w:rPr>
              <w:t>Home Gardener's Problem Solver</w:t>
            </w:r>
            <w:r w:rsidRPr="00E572F4">
              <w:rPr>
                <w:rFonts w:ascii="Times New Roman" w:hAnsi="Times New Roman"/>
                <w:sz w:val="22"/>
              </w:rPr>
              <w:t>. Ortho Books, 2001.</w:t>
            </w:r>
          </w:p>
          <w:p w:rsidR="00E5495F" w:rsidRPr="00E572F4" w:rsidRDefault="00E5495F" w:rsidP="00E5495F">
            <w:pPr>
              <w:tabs>
                <w:tab w:val="num" w:pos="550"/>
              </w:tabs>
              <w:spacing w:after="0"/>
              <w:ind w:left="550" w:hanging="330"/>
              <w:rPr>
                <w:rFonts w:ascii="Times New Roman" w:hAnsi="Times New Roman"/>
                <w:szCs w:val="24"/>
              </w:rPr>
            </w:pPr>
          </w:p>
          <w:p w:rsidR="00E5495F" w:rsidRPr="00E572F4" w:rsidRDefault="00E5495F" w:rsidP="00E5495F">
            <w:pPr>
              <w:pStyle w:val="zIndent1"/>
              <w:numPr>
                <w:ilvl w:val="1"/>
                <w:numId w:val="21"/>
              </w:numPr>
              <w:tabs>
                <w:tab w:val="clear" w:pos="1080"/>
                <w:tab w:val="num" w:pos="550"/>
              </w:tabs>
              <w:ind w:left="550" w:hanging="330"/>
              <w:rPr>
                <w:rFonts w:ascii="Times New Roman" w:hAnsi="Times New Roman"/>
                <w:sz w:val="22"/>
              </w:rPr>
            </w:pPr>
            <w:r w:rsidRPr="00E572F4">
              <w:rPr>
                <w:rFonts w:ascii="Times New Roman" w:hAnsi="Times New Roman"/>
                <w:sz w:val="22"/>
              </w:rPr>
              <w:t xml:space="preserve">“Nursery/Landscaping.” </w:t>
            </w:r>
            <w:r w:rsidRPr="00E572F4">
              <w:rPr>
                <w:rFonts w:ascii="Times New Roman" w:hAnsi="Times New Roman"/>
                <w:i/>
                <w:sz w:val="22"/>
              </w:rPr>
              <w:t>Missouri CDE Handbook</w:t>
            </w:r>
            <w:r w:rsidRPr="00E572F4">
              <w:rPr>
                <w:rFonts w:ascii="Times New Roman" w:hAnsi="Times New Roman"/>
                <w:sz w:val="22"/>
              </w:rPr>
              <w:t xml:space="preserve">. Accessed January 17, 2012, from </w:t>
            </w:r>
            <w:hyperlink r:id="rId13" w:history="1">
              <w:r w:rsidRPr="00E572F4">
                <w:rPr>
                  <w:rStyle w:val="Hyperlink"/>
                  <w:rFonts w:ascii="Times New Roman" w:hAnsi="Times New Roman"/>
                  <w:sz w:val="22"/>
                </w:rPr>
                <w:t>http://dese.mo.gov/divcareered/AG/CDE/Nursery-Landscape.pdf</w:t>
              </w:r>
            </w:hyperlink>
            <w:r w:rsidRPr="00E572F4">
              <w:rPr>
                <w:rFonts w:ascii="Times New Roman" w:hAnsi="Times New Roman"/>
                <w:sz w:val="22"/>
              </w:rPr>
              <w:t>.</w:t>
            </w:r>
          </w:p>
          <w:p w:rsidR="00E5495F" w:rsidRPr="00E572F4" w:rsidRDefault="00E5495F" w:rsidP="00E5495F">
            <w:pPr>
              <w:pStyle w:val="zIndent1"/>
              <w:tabs>
                <w:tab w:val="num" w:pos="550"/>
              </w:tabs>
              <w:ind w:left="550" w:hanging="330"/>
              <w:rPr>
                <w:rFonts w:ascii="Times New Roman" w:hAnsi="Times New Roman"/>
                <w:sz w:val="22"/>
                <w:szCs w:val="24"/>
              </w:rPr>
            </w:pPr>
          </w:p>
          <w:p w:rsidR="00E5495F" w:rsidRPr="00E572F4" w:rsidRDefault="00E5495F" w:rsidP="00E5495F">
            <w:pPr>
              <w:pStyle w:val="zIndent1"/>
              <w:numPr>
                <w:ilvl w:val="1"/>
                <w:numId w:val="21"/>
              </w:numPr>
              <w:tabs>
                <w:tab w:val="clear" w:pos="1080"/>
                <w:tab w:val="num" w:pos="550"/>
              </w:tabs>
              <w:ind w:left="550" w:hanging="330"/>
              <w:rPr>
                <w:rFonts w:ascii="Times New Roman" w:hAnsi="Times New Roman"/>
                <w:sz w:val="22"/>
              </w:rPr>
            </w:pPr>
            <w:r w:rsidRPr="00E572F4">
              <w:rPr>
                <w:rFonts w:ascii="Times New Roman" w:hAnsi="Times New Roman"/>
                <w:sz w:val="22"/>
              </w:rPr>
              <w:t xml:space="preserve">Plant Diseases Library. Kansas State Research and Extension. Accessed February 9, 2004, from </w:t>
            </w:r>
            <w:hyperlink r:id="rId14" w:history="1">
              <w:r w:rsidRPr="00E572F4">
                <w:rPr>
                  <w:rStyle w:val="Hyperlink"/>
                  <w:rFonts w:ascii="Times New Roman" w:hAnsi="Times New Roman"/>
                  <w:sz w:val="22"/>
                </w:rPr>
                <w:t>http://ww</w:t>
              </w:r>
              <w:r w:rsidRPr="00E572F4">
                <w:rPr>
                  <w:rStyle w:val="Hyperlink"/>
                  <w:rFonts w:ascii="Times New Roman" w:hAnsi="Times New Roman"/>
                  <w:sz w:val="22"/>
                </w:rPr>
                <w:t>w</w:t>
              </w:r>
              <w:r w:rsidRPr="00E572F4">
                <w:rPr>
                  <w:rStyle w:val="Hyperlink"/>
                  <w:rFonts w:ascii="Times New Roman" w:hAnsi="Times New Roman"/>
                  <w:sz w:val="22"/>
                </w:rPr>
                <w:t>.oznet.ks</w:t>
              </w:r>
              <w:r w:rsidRPr="00E572F4">
                <w:rPr>
                  <w:rStyle w:val="Hyperlink"/>
                  <w:rFonts w:ascii="Times New Roman" w:hAnsi="Times New Roman"/>
                  <w:sz w:val="22"/>
                </w:rPr>
                <w:t>u</w:t>
              </w:r>
              <w:r w:rsidRPr="00E572F4">
                <w:rPr>
                  <w:rStyle w:val="Hyperlink"/>
                  <w:rFonts w:ascii="Times New Roman" w:hAnsi="Times New Roman"/>
                  <w:sz w:val="22"/>
                </w:rPr>
                <w:t>.edu/library/plant2/</w:t>
              </w:r>
            </w:hyperlink>
            <w:r w:rsidRPr="00E572F4">
              <w:rPr>
                <w:rFonts w:ascii="Times New Roman" w:hAnsi="Times New Roman"/>
                <w:sz w:val="22"/>
              </w:rPr>
              <w:t xml:space="preserve">. </w:t>
            </w:r>
          </w:p>
          <w:p w:rsidR="00E5495F" w:rsidRPr="00E572F4" w:rsidRDefault="00E5495F" w:rsidP="00E5495F">
            <w:pPr>
              <w:pStyle w:val="zIndent1"/>
              <w:tabs>
                <w:tab w:val="num" w:pos="550"/>
              </w:tabs>
              <w:ind w:left="550" w:hanging="330"/>
              <w:rPr>
                <w:rFonts w:ascii="Times New Roman" w:hAnsi="Times New Roman"/>
                <w:sz w:val="22"/>
                <w:szCs w:val="24"/>
              </w:rPr>
            </w:pPr>
          </w:p>
          <w:p w:rsidR="00E5495F" w:rsidRPr="00AE1AB2" w:rsidRDefault="00E5495F" w:rsidP="00E5495F">
            <w:pPr>
              <w:pStyle w:val="zIndent1"/>
              <w:numPr>
                <w:ilvl w:val="1"/>
                <w:numId w:val="21"/>
              </w:numPr>
              <w:tabs>
                <w:tab w:val="clear" w:pos="1080"/>
                <w:tab w:val="num" w:pos="550"/>
              </w:tabs>
              <w:ind w:left="550" w:hanging="330"/>
              <w:rPr>
                <w:rFonts w:ascii="Times New Roman" w:hAnsi="Times New Roman"/>
                <w:sz w:val="22"/>
                <w:szCs w:val="24"/>
              </w:rPr>
            </w:pPr>
            <w:r w:rsidRPr="00AE1AB2">
              <w:rPr>
                <w:rFonts w:ascii="Times New Roman" w:hAnsi="Times New Roman"/>
                <w:sz w:val="22"/>
              </w:rPr>
              <w:t xml:space="preserve">Plants &amp; Pests.  Missouri Department of Agriculture. Accessed April 27,2012, from </w:t>
            </w:r>
            <w:hyperlink r:id="rId15" w:history="1">
              <w:r w:rsidRPr="00AE1AB2">
                <w:rPr>
                  <w:rStyle w:val="Hyperlink"/>
                  <w:rFonts w:ascii="Times New Roman" w:hAnsi="Times New Roman"/>
                  <w:sz w:val="22"/>
                  <w:szCs w:val="24"/>
                </w:rPr>
                <w:t>http://mda.mo.gov/plants/</w:t>
              </w:r>
            </w:hyperlink>
          </w:p>
          <w:p w:rsidR="00E5495F" w:rsidRPr="00E572F4" w:rsidRDefault="00E5495F" w:rsidP="00E5495F">
            <w:pPr>
              <w:pStyle w:val="zIndent1"/>
              <w:tabs>
                <w:tab w:val="num" w:pos="550"/>
              </w:tabs>
              <w:ind w:left="550" w:hanging="330"/>
              <w:rPr>
                <w:rFonts w:ascii="Times New Roman" w:hAnsi="Times New Roman"/>
                <w:sz w:val="22"/>
                <w:szCs w:val="24"/>
              </w:rPr>
            </w:pPr>
          </w:p>
          <w:p w:rsidR="00E5495F" w:rsidRPr="00E572F4" w:rsidRDefault="00E5495F" w:rsidP="00E5495F">
            <w:pPr>
              <w:pStyle w:val="zIndent1"/>
              <w:numPr>
                <w:ilvl w:val="1"/>
                <w:numId w:val="21"/>
              </w:numPr>
              <w:tabs>
                <w:tab w:val="clear" w:pos="1080"/>
                <w:tab w:val="num" w:pos="550"/>
              </w:tabs>
              <w:ind w:left="550" w:hanging="330"/>
              <w:rPr>
                <w:rFonts w:ascii="Times New Roman" w:hAnsi="Times New Roman"/>
                <w:sz w:val="22"/>
              </w:rPr>
            </w:pPr>
            <w:r w:rsidRPr="00E572F4">
              <w:rPr>
                <w:rFonts w:ascii="Times New Roman" w:hAnsi="Times New Roman"/>
                <w:sz w:val="22"/>
              </w:rPr>
              <w:t>Students may use additional outside sources to complete this activity.</w:t>
            </w:r>
          </w:p>
          <w:p w:rsidR="000F47EE" w:rsidRPr="00C44E14" w:rsidRDefault="000F47EE" w:rsidP="00BC4316">
            <w:pPr>
              <w:spacing w:line="240" w:lineRule="auto"/>
              <w:rPr>
                <w:b/>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6"/>
      <w:footerReference w:type="default" r:id="rId1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6876F8">
      <w:rPr>
        <w:b/>
        <w:noProof/>
      </w:rPr>
      <w:t>4</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6876F8">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3B6F27">
      <w:t>Plant Health</w:t>
    </w:r>
    <w:r w:rsidR="005A0F5D">
      <w:tab/>
    </w:r>
    <w:r w:rsidR="005A0F5D">
      <w:tab/>
    </w:r>
    <w:r w:rsidR="0094250B">
      <w:t>Course</w:t>
    </w:r>
    <w:r>
      <w:t xml:space="preserv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0E238E"/>
    <w:multiLevelType w:val="hybridMultilevel"/>
    <w:tmpl w:val="F88251D0"/>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12348D"/>
    <w:multiLevelType w:val="hybridMultilevel"/>
    <w:tmpl w:val="69EE47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D0FC4"/>
    <w:multiLevelType w:val="hybridMultilevel"/>
    <w:tmpl w:val="F4FADEE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5C5275B9"/>
    <w:multiLevelType w:val="hybridMultilevel"/>
    <w:tmpl w:val="3142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2"/>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3"/>
  </w:num>
  <w:num w:numId="16">
    <w:abstractNumId w:val="10"/>
  </w:num>
  <w:num w:numId="17">
    <w:abstractNumId w:val="11"/>
  </w:num>
  <w:num w:numId="18">
    <w:abstractNumId w:val="9"/>
  </w:num>
  <w:num w:numId="19">
    <w:abstractNumId w:val="14"/>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3D7D"/>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6F27"/>
    <w:rsid w:val="003B76EF"/>
    <w:rsid w:val="003F192D"/>
    <w:rsid w:val="003F1F66"/>
    <w:rsid w:val="00460715"/>
    <w:rsid w:val="004633F6"/>
    <w:rsid w:val="00467E84"/>
    <w:rsid w:val="004871C5"/>
    <w:rsid w:val="004E48C1"/>
    <w:rsid w:val="004F514F"/>
    <w:rsid w:val="00522002"/>
    <w:rsid w:val="00526777"/>
    <w:rsid w:val="00574E3C"/>
    <w:rsid w:val="005940E9"/>
    <w:rsid w:val="005A0F5D"/>
    <w:rsid w:val="00621267"/>
    <w:rsid w:val="006569A4"/>
    <w:rsid w:val="006876F8"/>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04639"/>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495F"/>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zIndent1">
    <w:name w:val="zIndent 1"/>
    <w:basedOn w:val="Normal"/>
    <w:rsid w:val="00E5495F"/>
    <w:pPr>
      <w:spacing w:after="0" w:line="240" w:lineRule="auto"/>
      <w:ind w:left="360"/>
    </w:pPr>
    <w:rPr>
      <w:rFonts w:ascii="Book Antiqua" w:eastAsia="Times New Roman" w:hAnsi="Book Antiqua"/>
      <w:sz w:val="24"/>
      <w:szCs w:val="20"/>
    </w:rPr>
  </w:style>
  <w:style w:type="character" w:styleId="Hyperlink">
    <w:name w:val="Hyperlink"/>
    <w:rsid w:val="00E5495F"/>
    <w:rPr>
      <w:color w:val="0000FF"/>
      <w:u w:val="single"/>
    </w:rPr>
  </w:style>
  <w:style w:type="character" w:styleId="FollowedHyperlink">
    <w:name w:val="FollowedHyperlink"/>
    <w:basedOn w:val="DefaultParagraphFont"/>
    <w:uiPriority w:val="99"/>
    <w:semiHidden/>
    <w:unhideWhenUsed/>
    <w:rsid w:val="00E549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se.mo.gov/divcareered/AG/CDE/Nursery-Landscap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uextension.missouri.edu/explore/agguides/pests/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da.mo.gov/pla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znet.ksu.edu/library/pla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A225A-12EB-4ED3-BD54-9FB7B85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2012-06-28T19:53:00Z</dcterms:created>
  <dcterms:modified xsi:type="dcterms:W3CDTF">2012-06-28T19:58:00Z</dcterms:modified>
</cp:coreProperties>
</file>