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023D7D" w:rsidRDefault="00023D7D" w:rsidP="00023D7D">
            <w:pPr>
              <w:autoSpaceDE w:val="0"/>
              <w:autoSpaceDN w:val="0"/>
              <w:adjustRightInd w:val="0"/>
              <w:spacing w:after="0" w:line="240" w:lineRule="auto"/>
              <w:rPr>
                <w:rFonts w:cs="Tahoma"/>
              </w:rPr>
            </w:pPr>
            <w:r w:rsidRPr="00461AF3">
              <w:rPr>
                <w:rFonts w:cs="Tahoma"/>
              </w:rPr>
              <w:t xml:space="preserve">The Greenhouse Operation and Management course develops a basic understanding of greenhouse techniques. The production of greenhouse crops will be used to demonstrate procedures such as plants started from cuttings, seeds, grafts, and layering. Students will manage their own crop as a greenhouse project. (CD 016765, CIP 01.0604) </w:t>
            </w:r>
          </w:p>
          <w:p w:rsidR="00023D7D" w:rsidRDefault="00023D7D" w:rsidP="00023D7D">
            <w:pPr>
              <w:autoSpaceDE w:val="0"/>
              <w:autoSpaceDN w:val="0"/>
              <w:adjustRightInd w:val="0"/>
              <w:spacing w:after="0" w:line="240" w:lineRule="auto"/>
              <w:rPr>
                <w:rFonts w:cs="Tahoma"/>
              </w:rPr>
            </w:pPr>
          </w:p>
          <w:p w:rsidR="00023D7D" w:rsidRPr="00461AF3" w:rsidRDefault="00023D7D" w:rsidP="00023D7D">
            <w:pPr>
              <w:autoSpaceDE w:val="0"/>
              <w:autoSpaceDN w:val="0"/>
              <w:adjustRightInd w:val="0"/>
              <w:spacing w:after="0" w:line="240" w:lineRule="auto"/>
              <w:rPr>
                <w:rFonts w:cs="Tahoma"/>
              </w:rPr>
            </w:pPr>
            <w:r w:rsidRPr="00461AF3">
              <w:rPr>
                <w:rFonts w:cs="Tahoma"/>
              </w:rPr>
              <w:t>Course Rationale – Agriculture encompasses the food, fiber, conservation and natural resource systems, employing over 20% of the nation’s workforce. Cutting, seeding, grafting, layering, and management of a greenhouse provide entry level and entrepreneurial opportunities for students with an interest in horticulture.</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4094"/>
        <w:gridCol w:w="2598"/>
        <w:gridCol w:w="206"/>
        <w:gridCol w:w="1144"/>
        <w:gridCol w:w="694"/>
        <w:gridCol w:w="1374"/>
        <w:gridCol w:w="1428"/>
        <w:gridCol w:w="809"/>
      </w:tblGrid>
      <w:tr w:rsidR="00DD40DF" w:rsidRPr="00DD40DF" w:rsidTr="0052533C">
        <w:tc>
          <w:tcPr>
            <w:tcW w:w="7521"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52533C" w:rsidP="0052533C">
            <w:pPr>
              <w:spacing w:line="240" w:lineRule="auto"/>
              <w:rPr>
                <w:b/>
              </w:rPr>
            </w:pPr>
            <w:r>
              <w:t>Students will learn how plants grow and function.</w:t>
            </w:r>
          </w:p>
        </w:tc>
        <w:tc>
          <w:tcPr>
            <w:tcW w:w="5655"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2533C">
              <w:rPr>
                <w:b/>
              </w:rPr>
              <w:t xml:space="preserve">  3 </w:t>
            </w:r>
            <w:r w:rsidR="005A0F5D">
              <w:rPr>
                <w:b/>
              </w:rPr>
              <w:t xml:space="preserve">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52533C" w:rsidRPr="00FB3D58" w:rsidRDefault="0052533C" w:rsidP="0052533C">
            <w:pPr>
              <w:spacing w:line="240" w:lineRule="auto"/>
              <w:rPr>
                <w:rFonts w:cs="Calibri"/>
              </w:rPr>
            </w:pPr>
            <w:r w:rsidRPr="00FB3D58">
              <w:rPr>
                <w:rFonts w:cs="Calibri"/>
              </w:rPr>
              <w:t>1.  How do plants grow?</w:t>
            </w:r>
          </w:p>
          <w:p w:rsidR="00DD40DF" w:rsidRPr="00C44E14" w:rsidRDefault="0052533C" w:rsidP="0052533C">
            <w:pPr>
              <w:spacing w:line="240" w:lineRule="auto"/>
              <w:rPr>
                <w:b/>
              </w:rPr>
            </w:pPr>
            <w:r w:rsidRPr="00FB3D58">
              <w:rPr>
                <w:rFonts w:cs="Calibri"/>
              </w:rPr>
              <w:t>2.  How do plants function?</w:t>
            </w: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52533C">
        <w:trPr>
          <w:trHeight w:val="467"/>
        </w:trPr>
        <w:tc>
          <w:tcPr>
            <w:tcW w:w="4923"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0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49" w:type="dxa"/>
            <w:gridSpan w:val="5"/>
          </w:tcPr>
          <w:p w:rsidR="008322A8" w:rsidRPr="00C44E14" w:rsidRDefault="008322A8" w:rsidP="00C44E14">
            <w:pPr>
              <w:spacing w:line="240" w:lineRule="auto"/>
              <w:jc w:val="center"/>
              <w:rPr>
                <w:b/>
              </w:rPr>
            </w:pPr>
            <w:r w:rsidRPr="00C44E14">
              <w:rPr>
                <w:b/>
              </w:rPr>
              <w:t>CROSSWALK TO STANDARDS</w:t>
            </w:r>
          </w:p>
        </w:tc>
      </w:tr>
      <w:tr w:rsidR="00321BC1" w:rsidTr="0052533C">
        <w:trPr>
          <w:trHeight w:val="466"/>
        </w:trPr>
        <w:tc>
          <w:tcPr>
            <w:tcW w:w="4923" w:type="dxa"/>
            <w:gridSpan w:val="2"/>
            <w:vMerge/>
          </w:tcPr>
          <w:p w:rsidR="00321BC1" w:rsidRPr="00C44E14" w:rsidRDefault="00321BC1" w:rsidP="00C44E14">
            <w:pPr>
              <w:spacing w:line="240" w:lineRule="auto"/>
              <w:jc w:val="center"/>
              <w:rPr>
                <w:b/>
              </w:rPr>
            </w:pPr>
          </w:p>
        </w:tc>
        <w:tc>
          <w:tcPr>
            <w:tcW w:w="280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4" w:type="dxa"/>
            <w:shd w:val="clear" w:color="auto" w:fill="auto"/>
          </w:tcPr>
          <w:p w:rsidR="00321BC1" w:rsidRPr="00C44E14" w:rsidRDefault="00321BC1" w:rsidP="00C44E14">
            <w:pPr>
              <w:spacing w:line="240" w:lineRule="auto"/>
              <w:jc w:val="center"/>
              <w:rPr>
                <w:b/>
              </w:rPr>
            </w:pPr>
            <w:r w:rsidRPr="00C44E14">
              <w:rPr>
                <w:b/>
              </w:rPr>
              <w:t>PS</w:t>
            </w:r>
          </w:p>
        </w:tc>
        <w:tc>
          <w:tcPr>
            <w:tcW w:w="1374" w:type="dxa"/>
          </w:tcPr>
          <w:p w:rsidR="00321BC1" w:rsidRPr="00C44E14" w:rsidRDefault="00321BC1" w:rsidP="00C44E14">
            <w:pPr>
              <w:spacing w:line="240" w:lineRule="auto"/>
              <w:jc w:val="center"/>
              <w:rPr>
                <w:b/>
              </w:rPr>
            </w:pPr>
            <w:r w:rsidRPr="00C44E14">
              <w:rPr>
                <w:b/>
              </w:rPr>
              <w:t>CCSS</w:t>
            </w:r>
          </w:p>
        </w:tc>
        <w:tc>
          <w:tcPr>
            <w:tcW w:w="1428" w:type="dxa"/>
          </w:tcPr>
          <w:p w:rsidR="00321BC1" w:rsidRPr="00C44E14" w:rsidRDefault="00E324DF" w:rsidP="00C44E14">
            <w:pPr>
              <w:spacing w:line="240" w:lineRule="auto"/>
              <w:jc w:val="center"/>
              <w:rPr>
                <w:b/>
              </w:rPr>
            </w:pPr>
            <w:r>
              <w:rPr>
                <w:b/>
              </w:rPr>
              <w:t>AFNR Standards</w:t>
            </w:r>
          </w:p>
        </w:tc>
        <w:tc>
          <w:tcPr>
            <w:tcW w:w="809" w:type="dxa"/>
          </w:tcPr>
          <w:p w:rsidR="00321BC1" w:rsidRPr="00C44E14" w:rsidRDefault="00321BC1" w:rsidP="00C44E14">
            <w:pPr>
              <w:spacing w:line="240" w:lineRule="auto"/>
              <w:jc w:val="center"/>
              <w:rPr>
                <w:b/>
              </w:rPr>
            </w:pPr>
            <w:r w:rsidRPr="00C44E14">
              <w:rPr>
                <w:b/>
              </w:rPr>
              <w:t>DOK</w:t>
            </w:r>
          </w:p>
        </w:tc>
      </w:tr>
      <w:tr w:rsidR="0052533C" w:rsidTr="0052533C">
        <w:trPr>
          <w:trHeight w:val="466"/>
        </w:trPr>
        <w:tc>
          <w:tcPr>
            <w:tcW w:w="4923" w:type="dxa"/>
            <w:gridSpan w:val="2"/>
          </w:tcPr>
          <w:p w:rsidR="0052533C" w:rsidRPr="0052533C" w:rsidRDefault="0052533C" w:rsidP="0052533C">
            <w:pPr>
              <w:pStyle w:val="ListParagraph"/>
              <w:numPr>
                <w:ilvl w:val="0"/>
                <w:numId w:val="19"/>
              </w:numPr>
              <w:spacing w:after="0" w:line="240" w:lineRule="auto"/>
              <w:rPr>
                <w:rFonts w:ascii="Times New Roman" w:hAnsi="Times New Roman"/>
                <w:szCs w:val="20"/>
              </w:rPr>
            </w:pPr>
            <w:r w:rsidRPr="0052533C">
              <w:rPr>
                <w:rFonts w:ascii="Times New Roman" w:hAnsi="Times New Roman"/>
                <w:szCs w:val="20"/>
              </w:rPr>
              <w:t>Distinguish plant parts, structures, and functions.</w:t>
            </w:r>
          </w:p>
          <w:p w:rsidR="0052533C" w:rsidRPr="00270D45" w:rsidRDefault="0052533C" w:rsidP="0052533C">
            <w:pPr>
              <w:pStyle w:val="ListParagraph"/>
              <w:spacing w:after="0" w:line="240" w:lineRule="auto"/>
              <w:ind w:left="0"/>
            </w:pPr>
          </w:p>
        </w:tc>
        <w:tc>
          <w:tcPr>
            <w:tcW w:w="2804" w:type="dxa"/>
            <w:gridSpan w:val="2"/>
          </w:tcPr>
          <w:p w:rsidR="0052533C" w:rsidRPr="00C44E14" w:rsidRDefault="0052533C" w:rsidP="005A0F5D">
            <w:pPr>
              <w:spacing w:after="0" w:line="240" w:lineRule="auto"/>
              <w:rPr>
                <w:b/>
              </w:rPr>
            </w:pPr>
          </w:p>
        </w:tc>
        <w:tc>
          <w:tcPr>
            <w:tcW w:w="1144" w:type="dxa"/>
            <w:shd w:val="clear" w:color="auto" w:fill="auto"/>
          </w:tcPr>
          <w:p w:rsidR="0052533C" w:rsidRPr="00C44E14" w:rsidRDefault="0052533C" w:rsidP="005A0F5D">
            <w:pPr>
              <w:spacing w:after="0" w:line="240" w:lineRule="auto"/>
              <w:rPr>
                <w:b/>
              </w:rPr>
            </w:pPr>
          </w:p>
        </w:tc>
        <w:tc>
          <w:tcPr>
            <w:tcW w:w="694" w:type="dxa"/>
            <w:shd w:val="clear" w:color="auto" w:fill="auto"/>
          </w:tcPr>
          <w:p w:rsidR="0052533C" w:rsidRPr="00C44E14" w:rsidRDefault="0052533C" w:rsidP="005A0F5D">
            <w:pPr>
              <w:spacing w:after="0" w:line="240" w:lineRule="auto"/>
              <w:rPr>
                <w:b/>
              </w:rPr>
            </w:pPr>
          </w:p>
        </w:tc>
        <w:tc>
          <w:tcPr>
            <w:tcW w:w="1374" w:type="dxa"/>
            <w:shd w:val="clear" w:color="auto" w:fill="auto"/>
          </w:tcPr>
          <w:p w:rsidR="0052533C" w:rsidRPr="00270D45" w:rsidRDefault="0052533C" w:rsidP="001412E4">
            <w:pPr>
              <w:spacing w:after="0" w:line="240" w:lineRule="auto"/>
              <w:jc w:val="center"/>
            </w:pPr>
            <w:r>
              <w:t>SL</w:t>
            </w:r>
            <w:r w:rsidRPr="00270D45">
              <w:t>11-12.2</w:t>
            </w:r>
          </w:p>
        </w:tc>
        <w:tc>
          <w:tcPr>
            <w:tcW w:w="1428" w:type="dxa"/>
            <w:shd w:val="clear" w:color="auto" w:fill="auto"/>
          </w:tcPr>
          <w:p w:rsidR="0052533C" w:rsidRPr="00270D45" w:rsidRDefault="0052533C" w:rsidP="001412E4">
            <w:pPr>
              <w:spacing w:after="0" w:line="240" w:lineRule="auto"/>
              <w:jc w:val="center"/>
            </w:pPr>
            <w:r w:rsidRPr="00270D45">
              <w:t>PS.01.02.01.a</w:t>
            </w:r>
          </w:p>
          <w:p w:rsidR="0052533C" w:rsidRPr="00270D45" w:rsidRDefault="0052533C" w:rsidP="001412E4">
            <w:pPr>
              <w:spacing w:after="0" w:line="240" w:lineRule="auto"/>
              <w:jc w:val="center"/>
            </w:pPr>
            <w:r w:rsidRPr="00270D45">
              <w:t>PS.01.02.02.a</w:t>
            </w:r>
          </w:p>
          <w:p w:rsidR="0052533C" w:rsidRPr="00270D45" w:rsidRDefault="0052533C" w:rsidP="001412E4">
            <w:pPr>
              <w:spacing w:after="0" w:line="240" w:lineRule="auto"/>
              <w:jc w:val="center"/>
            </w:pPr>
            <w:r w:rsidRPr="00270D45">
              <w:t>PS.01.02.03.a</w:t>
            </w:r>
          </w:p>
          <w:p w:rsidR="0052533C" w:rsidRPr="00270D45" w:rsidRDefault="0052533C" w:rsidP="001412E4">
            <w:pPr>
              <w:spacing w:after="0" w:line="240" w:lineRule="auto"/>
              <w:jc w:val="center"/>
            </w:pPr>
            <w:r w:rsidRPr="00270D45">
              <w:t>PS.01.02.04.a</w:t>
            </w:r>
          </w:p>
          <w:p w:rsidR="0052533C" w:rsidRPr="00270D45" w:rsidRDefault="0052533C" w:rsidP="001412E4">
            <w:pPr>
              <w:spacing w:after="0" w:line="240" w:lineRule="auto"/>
              <w:jc w:val="center"/>
            </w:pPr>
            <w:r w:rsidRPr="00270D45">
              <w:t>PS.01.02.05.a</w:t>
            </w:r>
          </w:p>
        </w:tc>
        <w:tc>
          <w:tcPr>
            <w:tcW w:w="809" w:type="dxa"/>
            <w:shd w:val="clear" w:color="auto" w:fill="auto"/>
          </w:tcPr>
          <w:p w:rsidR="0052533C" w:rsidRPr="00270D45" w:rsidRDefault="0052533C" w:rsidP="001412E4">
            <w:pPr>
              <w:spacing w:after="0" w:line="240" w:lineRule="auto"/>
              <w:jc w:val="center"/>
            </w:pPr>
            <w:r w:rsidRPr="00270D45">
              <w:t>1</w:t>
            </w:r>
          </w:p>
        </w:tc>
      </w:tr>
      <w:tr w:rsidR="0052533C" w:rsidTr="0052533C">
        <w:trPr>
          <w:trHeight w:val="466"/>
        </w:trPr>
        <w:tc>
          <w:tcPr>
            <w:tcW w:w="4923" w:type="dxa"/>
            <w:gridSpan w:val="2"/>
          </w:tcPr>
          <w:p w:rsidR="0052533C" w:rsidRPr="0052533C" w:rsidRDefault="0052533C" w:rsidP="0052533C">
            <w:pPr>
              <w:pStyle w:val="ListParagraph"/>
              <w:numPr>
                <w:ilvl w:val="0"/>
                <w:numId w:val="19"/>
              </w:numPr>
              <w:spacing w:after="0" w:line="240" w:lineRule="auto"/>
              <w:rPr>
                <w:rFonts w:ascii="Times New Roman" w:hAnsi="Times New Roman"/>
                <w:szCs w:val="20"/>
              </w:rPr>
            </w:pPr>
            <w:r w:rsidRPr="0052533C">
              <w:rPr>
                <w:rFonts w:ascii="Times New Roman" w:hAnsi="Times New Roman"/>
                <w:szCs w:val="20"/>
              </w:rPr>
              <w:t>Identify the growth processes of a plant.</w:t>
            </w:r>
          </w:p>
        </w:tc>
        <w:tc>
          <w:tcPr>
            <w:tcW w:w="2804" w:type="dxa"/>
            <w:gridSpan w:val="2"/>
          </w:tcPr>
          <w:p w:rsidR="0052533C" w:rsidRPr="00C44E14" w:rsidRDefault="0052533C" w:rsidP="005A0F5D">
            <w:pPr>
              <w:spacing w:after="0" w:line="240" w:lineRule="auto"/>
              <w:rPr>
                <w:b/>
              </w:rPr>
            </w:pPr>
          </w:p>
        </w:tc>
        <w:tc>
          <w:tcPr>
            <w:tcW w:w="1144" w:type="dxa"/>
            <w:shd w:val="clear" w:color="auto" w:fill="auto"/>
          </w:tcPr>
          <w:p w:rsidR="0052533C" w:rsidRPr="00C44E14" w:rsidRDefault="0052533C" w:rsidP="005A0F5D">
            <w:pPr>
              <w:spacing w:after="0" w:line="240" w:lineRule="auto"/>
              <w:rPr>
                <w:b/>
              </w:rPr>
            </w:pPr>
          </w:p>
        </w:tc>
        <w:tc>
          <w:tcPr>
            <w:tcW w:w="694" w:type="dxa"/>
            <w:shd w:val="clear" w:color="auto" w:fill="auto"/>
          </w:tcPr>
          <w:p w:rsidR="0052533C" w:rsidRPr="00C44E14" w:rsidRDefault="0052533C" w:rsidP="005A0F5D">
            <w:pPr>
              <w:spacing w:after="0" w:line="240" w:lineRule="auto"/>
              <w:rPr>
                <w:b/>
              </w:rPr>
            </w:pPr>
          </w:p>
        </w:tc>
        <w:tc>
          <w:tcPr>
            <w:tcW w:w="1374" w:type="dxa"/>
            <w:shd w:val="clear" w:color="auto" w:fill="auto"/>
          </w:tcPr>
          <w:p w:rsidR="0052533C" w:rsidRDefault="0052533C" w:rsidP="001412E4">
            <w:pPr>
              <w:spacing w:after="0" w:line="240" w:lineRule="auto"/>
              <w:jc w:val="center"/>
            </w:pPr>
            <w:r w:rsidRPr="00270D45">
              <w:t>SL11-12.2</w:t>
            </w:r>
          </w:p>
          <w:p w:rsidR="0052533C" w:rsidRPr="00270D45" w:rsidRDefault="0052533C" w:rsidP="001412E4">
            <w:pPr>
              <w:spacing w:after="0" w:line="240" w:lineRule="auto"/>
            </w:pPr>
          </w:p>
        </w:tc>
        <w:tc>
          <w:tcPr>
            <w:tcW w:w="1428" w:type="dxa"/>
            <w:shd w:val="clear" w:color="auto" w:fill="auto"/>
          </w:tcPr>
          <w:p w:rsidR="0052533C" w:rsidRPr="00270D45" w:rsidRDefault="0052533C" w:rsidP="001412E4">
            <w:pPr>
              <w:spacing w:after="0" w:line="240" w:lineRule="auto"/>
              <w:jc w:val="center"/>
            </w:pPr>
            <w:r w:rsidRPr="00270D45">
              <w:t>PS.01.03.01.a</w:t>
            </w:r>
          </w:p>
          <w:p w:rsidR="0052533C" w:rsidRPr="00270D45" w:rsidRDefault="0052533C" w:rsidP="001412E4">
            <w:pPr>
              <w:spacing w:after="0" w:line="240" w:lineRule="auto"/>
              <w:jc w:val="center"/>
            </w:pPr>
            <w:r w:rsidRPr="00270D45">
              <w:t>PS.01.03.02.a</w:t>
            </w:r>
          </w:p>
          <w:p w:rsidR="0052533C" w:rsidRPr="00270D45" w:rsidRDefault="0052533C" w:rsidP="001412E4">
            <w:pPr>
              <w:spacing w:after="0" w:line="240" w:lineRule="auto"/>
              <w:jc w:val="center"/>
            </w:pPr>
            <w:r w:rsidRPr="00270D45">
              <w:t>PS.01.03.03.a</w:t>
            </w:r>
          </w:p>
        </w:tc>
        <w:tc>
          <w:tcPr>
            <w:tcW w:w="809" w:type="dxa"/>
            <w:shd w:val="clear" w:color="auto" w:fill="auto"/>
          </w:tcPr>
          <w:p w:rsidR="0052533C" w:rsidRPr="00270D45" w:rsidRDefault="0052533C" w:rsidP="001412E4">
            <w:pPr>
              <w:spacing w:after="0" w:line="240" w:lineRule="auto"/>
              <w:jc w:val="center"/>
            </w:pPr>
            <w:r w:rsidRPr="00270D45">
              <w:t>2</w:t>
            </w:r>
          </w:p>
        </w:tc>
      </w:tr>
      <w:tr w:rsidR="0052533C" w:rsidTr="0052533C">
        <w:trPr>
          <w:trHeight w:val="466"/>
        </w:trPr>
        <w:tc>
          <w:tcPr>
            <w:tcW w:w="4923" w:type="dxa"/>
            <w:gridSpan w:val="2"/>
          </w:tcPr>
          <w:p w:rsidR="0052533C" w:rsidRPr="0052533C" w:rsidRDefault="0052533C" w:rsidP="0052533C">
            <w:pPr>
              <w:pStyle w:val="ListParagraph"/>
              <w:numPr>
                <w:ilvl w:val="0"/>
                <w:numId w:val="19"/>
              </w:numPr>
              <w:spacing w:after="0" w:line="240" w:lineRule="auto"/>
              <w:rPr>
                <w:rFonts w:ascii="Times New Roman" w:hAnsi="Times New Roman"/>
                <w:szCs w:val="20"/>
              </w:rPr>
            </w:pPr>
            <w:r w:rsidRPr="0052533C">
              <w:rPr>
                <w:rFonts w:ascii="Times New Roman" w:hAnsi="Times New Roman"/>
                <w:szCs w:val="20"/>
              </w:rPr>
              <w:t>Distinguish plants by characteristics and purpose.</w:t>
            </w:r>
          </w:p>
        </w:tc>
        <w:tc>
          <w:tcPr>
            <w:tcW w:w="2804" w:type="dxa"/>
            <w:gridSpan w:val="2"/>
          </w:tcPr>
          <w:p w:rsidR="0052533C" w:rsidRPr="00C44E14" w:rsidRDefault="0052533C" w:rsidP="005A0F5D">
            <w:pPr>
              <w:spacing w:after="0" w:line="240" w:lineRule="auto"/>
              <w:rPr>
                <w:b/>
              </w:rPr>
            </w:pPr>
          </w:p>
        </w:tc>
        <w:tc>
          <w:tcPr>
            <w:tcW w:w="1144" w:type="dxa"/>
            <w:shd w:val="clear" w:color="auto" w:fill="auto"/>
          </w:tcPr>
          <w:p w:rsidR="0052533C" w:rsidRPr="00C44E14" w:rsidRDefault="0052533C" w:rsidP="005A0F5D">
            <w:pPr>
              <w:spacing w:after="0" w:line="240" w:lineRule="auto"/>
              <w:rPr>
                <w:b/>
              </w:rPr>
            </w:pPr>
          </w:p>
        </w:tc>
        <w:tc>
          <w:tcPr>
            <w:tcW w:w="694" w:type="dxa"/>
            <w:shd w:val="clear" w:color="auto" w:fill="auto"/>
          </w:tcPr>
          <w:p w:rsidR="0052533C" w:rsidRPr="00C44E14" w:rsidRDefault="0052533C" w:rsidP="005A0F5D">
            <w:pPr>
              <w:spacing w:after="0" w:line="240" w:lineRule="auto"/>
              <w:rPr>
                <w:b/>
              </w:rPr>
            </w:pPr>
          </w:p>
        </w:tc>
        <w:tc>
          <w:tcPr>
            <w:tcW w:w="1374" w:type="dxa"/>
            <w:shd w:val="clear" w:color="auto" w:fill="auto"/>
          </w:tcPr>
          <w:p w:rsidR="0052533C" w:rsidRPr="00270D45" w:rsidRDefault="0052533C" w:rsidP="001412E4">
            <w:pPr>
              <w:spacing w:after="0" w:line="240" w:lineRule="auto"/>
              <w:jc w:val="center"/>
            </w:pPr>
            <w:r>
              <w:t>SL11-12.2</w:t>
            </w:r>
          </w:p>
        </w:tc>
        <w:tc>
          <w:tcPr>
            <w:tcW w:w="1428" w:type="dxa"/>
            <w:shd w:val="clear" w:color="auto" w:fill="auto"/>
          </w:tcPr>
          <w:p w:rsidR="0052533C" w:rsidRPr="00270D45" w:rsidRDefault="0052533C" w:rsidP="001412E4">
            <w:pPr>
              <w:spacing w:after="0" w:line="240" w:lineRule="auto"/>
              <w:jc w:val="center"/>
            </w:pPr>
            <w:r w:rsidRPr="00270D45">
              <w:t>PS.01.01.01.c</w:t>
            </w:r>
          </w:p>
        </w:tc>
        <w:tc>
          <w:tcPr>
            <w:tcW w:w="809" w:type="dxa"/>
            <w:shd w:val="clear" w:color="auto" w:fill="auto"/>
          </w:tcPr>
          <w:p w:rsidR="0052533C" w:rsidRPr="00270D45" w:rsidRDefault="0052533C" w:rsidP="001412E4">
            <w:pPr>
              <w:spacing w:after="0" w:line="240" w:lineRule="auto"/>
              <w:jc w:val="center"/>
            </w:pPr>
            <w:r w:rsidRPr="00270D45">
              <w:t>4</w:t>
            </w:r>
          </w:p>
        </w:tc>
      </w:tr>
      <w:tr w:rsidR="0052533C" w:rsidTr="0052533C">
        <w:trPr>
          <w:trHeight w:val="466"/>
        </w:trPr>
        <w:tc>
          <w:tcPr>
            <w:tcW w:w="4923" w:type="dxa"/>
            <w:gridSpan w:val="2"/>
          </w:tcPr>
          <w:p w:rsidR="0052533C" w:rsidRPr="0052533C" w:rsidRDefault="0052533C" w:rsidP="0052533C">
            <w:pPr>
              <w:pStyle w:val="ListParagraph"/>
              <w:numPr>
                <w:ilvl w:val="0"/>
                <w:numId w:val="19"/>
              </w:numPr>
              <w:spacing w:after="0" w:line="240" w:lineRule="auto"/>
              <w:rPr>
                <w:rFonts w:ascii="Times New Roman" w:hAnsi="Times New Roman"/>
                <w:szCs w:val="20"/>
              </w:rPr>
            </w:pPr>
            <w:r w:rsidRPr="0052533C">
              <w:rPr>
                <w:rFonts w:ascii="Times New Roman" w:hAnsi="Times New Roman"/>
                <w:szCs w:val="20"/>
              </w:rPr>
              <w:t>Unit: Demonstrate an understanding of plant science by creating a plant collection in which plants will be identified and labeled as to the type of root, leaf shape, leaf margin, leaf attachment, and venation.</w:t>
            </w:r>
          </w:p>
        </w:tc>
        <w:tc>
          <w:tcPr>
            <w:tcW w:w="2804" w:type="dxa"/>
            <w:gridSpan w:val="2"/>
          </w:tcPr>
          <w:p w:rsidR="0052533C" w:rsidRPr="00C44E14" w:rsidRDefault="0052533C" w:rsidP="005A0F5D">
            <w:pPr>
              <w:spacing w:after="0" w:line="240" w:lineRule="auto"/>
              <w:rPr>
                <w:b/>
              </w:rPr>
            </w:pPr>
          </w:p>
        </w:tc>
        <w:tc>
          <w:tcPr>
            <w:tcW w:w="1144" w:type="dxa"/>
            <w:shd w:val="clear" w:color="auto" w:fill="auto"/>
          </w:tcPr>
          <w:p w:rsidR="0052533C" w:rsidRPr="00C44E14" w:rsidRDefault="0052533C" w:rsidP="005A0F5D">
            <w:pPr>
              <w:spacing w:after="0" w:line="240" w:lineRule="auto"/>
              <w:rPr>
                <w:b/>
              </w:rPr>
            </w:pPr>
          </w:p>
        </w:tc>
        <w:tc>
          <w:tcPr>
            <w:tcW w:w="694" w:type="dxa"/>
            <w:shd w:val="clear" w:color="auto" w:fill="auto"/>
          </w:tcPr>
          <w:p w:rsidR="0052533C" w:rsidRPr="00C44E14" w:rsidRDefault="0052533C" w:rsidP="005A0F5D">
            <w:pPr>
              <w:spacing w:after="0" w:line="240" w:lineRule="auto"/>
              <w:rPr>
                <w:b/>
              </w:rPr>
            </w:pPr>
          </w:p>
        </w:tc>
        <w:tc>
          <w:tcPr>
            <w:tcW w:w="1374" w:type="dxa"/>
            <w:shd w:val="clear" w:color="auto" w:fill="auto"/>
          </w:tcPr>
          <w:p w:rsidR="0052533C" w:rsidRDefault="0052533C" w:rsidP="001412E4">
            <w:pPr>
              <w:spacing w:after="0" w:line="240" w:lineRule="auto"/>
              <w:jc w:val="center"/>
            </w:pPr>
            <w:r>
              <w:t>SL11-12.1</w:t>
            </w:r>
            <w:r w:rsidRPr="00270D45">
              <w:t>.d</w:t>
            </w:r>
          </w:p>
          <w:p w:rsidR="0052533C" w:rsidRDefault="0052533C" w:rsidP="001412E4">
            <w:pPr>
              <w:spacing w:after="0" w:line="240" w:lineRule="auto"/>
              <w:jc w:val="center"/>
            </w:pPr>
            <w:r>
              <w:t>SL11-12.2</w:t>
            </w:r>
          </w:p>
          <w:p w:rsidR="0052533C" w:rsidRPr="00270D45" w:rsidRDefault="0052533C" w:rsidP="001412E4">
            <w:pPr>
              <w:spacing w:after="0" w:line="240" w:lineRule="auto"/>
              <w:jc w:val="center"/>
            </w:pPr>
            <w:r>
              <w:t>SL11-12.4</w:t>
            </w:r>
          </w:p>
          <w:p w:rsidR="0052533C" w:rsidRDefault="0052533C" w:rsidP="001412E4">
            <w:pPr>
              <w:spacing w:after="0" w:line="240" w:lineRule="auto"/>
              <w:jc w:val="center"/>
            </w:pPr>
            <w:r w:rsidRPr="00270D45">
              <w:t>SL11-12.6</w:t>
            </w:r>
          </w:p>
          <w:p w:rsidR="0052533C" w:rsidRPr="00270D45" w:rsidRDefault="0052533C" w:rsidP="001412E4">
            <w:pPr>
              <w:spacing w:after="0" w:line="240" w:lineRule="auto"/>
              <w:jc w:val="center"/>
            </w:pPr>
            <w:r>
              <w:t>RST11-12.9</w:t>
            </w:r>
          </w:p>
        </w:tc>
        <w:tc>
          <w:tcPr>
            <w:tcW w:w="1428" w:type="dxa"/>
            <w:shd w:val="clear" w:color="auto" w:fill="auto"/>
          </w:tcPr>
          <w:p w:rsidR="0052533C" w:rsidRPr="00270D45" w:rsidRDefault="0052533C" w:rsidP="001412E4">
            <w:pPr>
              <w:spacing w:after="0" w:line="240" w:lineRule="auto"/>
              <w:jc w:val="center"/>
            </w:pPr>
          </w:p>
        </w:tc>
        <w:tc>
          <w:tcPr>
            <w:tcW w:w="809" w:type="dxa"/>
            <w:shd w:val="clear" w:color="auto" w:fill="auto"/>
          </w:tcPr>
          <w:p w:rsidR="0052533C" w:rsidRPr="00270D45" w:rsidRDefault="0052533C" w:rsidP="001412E4">
            <w:pPr>
              <w:spacing w:after="0" w:line="240" w:lineRule="auto"/>
              <w:jc w:val="center"/>
            </w:pPr>
            <w:r w:rsidRPr="00270D45">
              <w:t>4</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52533C" w:rsidRPr="00B713A3" w:rsidRDefault="0052533C" w:rsidP="0052533C">
            <w:pPr>
              <w:pStyle w:val="zIndent1"/>
              <w:spacing w:after="120"/>
              <w:rPr>
                <w:rFonts w:ascii="Times New Roman" w:hAnsi="Times New Roman"/>
                <w:sz w:val="22"/>
              </w:rPr>
            </w:pPr>
            <w:r w:rsidRPr="00B713A3">
              <w:rPr>
                <w:rFonts w:ascii="Times New Roman" w:hAnsi="Times New Roman"/>
                <w:sz w:val="22"/>
              </w:rPr>
              <w:t xml:space="preserve">Each student will create a plant collection that includes types of roots, types of leaf shapes, types of leaf margins, types of leaf attachments, </w:t>
            </w:r>
            <w:r w:rsidRPr="00B713A3">
              <w:rPr>
                <w:rFonts w:ascii="Times New Roman" w:hAnsi="Times New Roman"/>
                <w:sz w:val="22"/>
              </w:rPr>
              <w:lastRenderedPageBreak/>
              <w:t xml:space="preserve">and types of venation.  For examples of these plant types and shapes, students can refer to lesson 1 in the unit.  Students will mount each specimen to a piece of paper in some manner. Each root or leaf should be labeled as to the category and the sample it represents (e.g., type of leaf shape, oval).   </w:t>
            </w:r>
          </w:p>
          <w:p w:rsidR="0052533C" w:rsidRPr="00B713A3" w:rsidRDefault="0052533C" w:rsidP="0052533C">
            <w:pPr>
              <w:spacing w:after="120" w:line="240" w:lineRule="auto"/>
              <w:rPr>
                <w:rFonts w:ascii="Times New Roman" w:hAnsi="Times New Roman"/>
                <w:b/>
              </w:rPr>
            </w:pPr>
            <w:r w:rsidRPr="00B713A3">
              <w:rPr>
                <w:rFonts w:ascii="Times New Roman" w:hAnsi="Times New Roman"/>
              </w:rPr>
              <w:t xml:space="preserve">      Assessment will be based on the overall content and presentation of the plant collection.</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52533C">
        <w:trPr>
          <w:trHeight w:val="359"/>
        </w:trPr>
        <w:tc>
          <w:tcPr>
            <w:tcW w:w="829" w:type="dxa"/>
          </w:tcPr>
          <w:p w:rsidR="00321BC1" w:rsidRPr="00C44E14" w:rsidRDefault="00321BC1" w:rsidP="00C44E14">
            <w:pPr>
              <w:spacing w:line="240" w:lineRule="auto"/>
              <w:rPr>
                <w:b/>
              </w:rPr>
            </w:pPr>
            <w:r w:rsidRPr="00C44E14">
              <w:rPr>
                <w:b/>
              </w:rPr>
              <w:lastRenderedPageBreak/>
              <w:t>Obj. #</w:t>
            </w:r>
          </w:p>
        </w:tc>
        <w:tc>
          <w:tcPr>
            <w:tcW w:w="12347"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52533C">
        <w:trPr>
          <w:trHeight w:val="359"/>
        </w:trPr>
        <w:tc>
          <w:tcPr>
            <w:tcW w:w="829" w:type="dxa"/>
          </w:tcPr>
          <w:p w:rsidR="00D2622A" w:rsidRPr="009505D0" w:rsidRDefault="0052533C" w:rsidP="00C44E14">
            <w:pPr>
              <w:spacing w:line="240" w:lineRule="auto"/>
              <w:rPr>
                <w:noProof/>
              </w:rPr>
            </w:pPr>
            <w:r>
              <w:rPr>
                <w:noProof/>
              </w:rPr>
              <w:t>1-3</w:t>
            </w:r>
          </w:p>
        </w:tc>
        <w:tc>
          <w:tcPr>
            <w:tcW w:w="12347" w:type="dxa"/>
            <w:gridSpan w:val="8"/>
          </w:tcPr>
          <w:p w:rsidR="00D2622A" w:rsidRPr="0052533C" w:rsidRDefault="0052533C" w:rsidP="0052533C">
            <w:pPr>
              <w:pStyle w:val="ListParagraph"/>
              <w:numPr>
                <w:ilvl w:val="0"/>
                <w:numId w:val="20"/>
              </w:numPr>
              <w:spacing w:line="240" w:lineRule="auto"/>
              <w:rPr>
                <w:rFonts w:ascii="Times New Roman" w:hAnsi="Times New Roman"/>
                <w:b/>
              </w:rPr>
            </w:pPr>
            <w:r w:rsidRPr="0052533C">
              <w:rPr>
                <w:rFonts w:ascii="Times New Roman" w:hAnsi="Times New Roman"/>
                <w:b/>
              </w:rPr>
              <w:t>Lecture, demonstration, discussion</w:t>
            </w:r>
          </w:p>
        </w:tc>
      </w:tr>
      <w:tr w:rsidR="00D2622A" w:rsidTr="0052533C">
        <w:trPr>
          <w:trHeight w:val="359"/>
        </w:trPr>
        <w:tc>
          <w:tcPr>
            <w:tcW w:w="829" w:type="dxa"/>
          </w:tcPr>
          <w:p w:rsidR="00D2622A" w:rsidRPr="009505D0" w:rsidRDefault="0052533C" w:rsidP="00C44E14">
            <w:pPr>
              <w:spacing w:line="240" w:lineRule="auto"/>
              <w:rPr>
                <w:noProof/>
              </w:rPr>
            </w:pPr>
            <w:r>
              <w:rPr>
                <w:noProof/>
              </w:rPr>
              <w:t>4</w:t>
            </w:r>
          </w:p>
        </w:tc>
        <w:tc>
          <w:tcPr>
            <w:tcW w:w="12347" w:type="dxa"/>
            <w:gridSpan w:val="8"/>
          </w:tcPr>
          <w:p w:rsidR="00D2622A" w:rsidRPr="0052533C" w:rsidRDefault="0052533C" w:rsidP="0052533C">
            <w:pPr>
              <w:pStyle w:val="ListParagraph"/>
              <w:numPr>
                <w:ilvl w:val="0"/>
                <w:numId w:val="20"/>
              </w:numPr>
              <w:spacing w:line="240" w:lineRule="auto"/>
              <w:rPr>
                <w:b/>
              </w:rPr>
            </w:pPr>
            <w:r w:rsidRPr="0052533C">
              <w:rPr>
                <w:rFonts w:ascii="Times New Roman" w:hAnsi="Times New Roman"/>
                <w:b/>
              </w:rPr>
              <w:t>Independent student activity</w:t>
            </w:r>
          </w:p>
        </w:tc>
      </w:tr>
      <w:tr w:rsidR="00254338" w:rsidTr="0052533C">
        <w:trPr>
          <w:trHeight w:val="466"/>
        </w:trPr>
        <w:tc>
          <w:tcPr>
            <w:tcW w:w="829" w:type="dxa"/>
          </w:tcPr>
          <w:p w:rsidR="00254338" w:rsidRPr="00C44E14" w:rsidRDefault="001B1672" w:rsidP="00C44E14">
            <w:pPr>
              <w:spacing w:line="240" w:lineRule="auto"/>
              <w:rPr>
                <w:b/>
              </w:rPr>
            </w:pPr>
            <w:r w:rsidRPr="00C44E14">
              <w:rPr>
                <w:b/>
              </w:rPr>
              <w:t>Obj. #</w:t>
            </w:r>
          </w:p>
        </w:tc>
        <w:tc>
          <w:tcPr>
            <w:tcW w:w="12347"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52533C">
        <w:trPr>
          <w:trHeight w:val="466"/>
        </w:trPr>
        <w:tc>
          <w:tcPr>
            <w:tcW w:w="829" w:type="dxa"/>
          </w:tcPr>
          <w:p w:rsidR="003A7E69" w:rsidRPr="009505D0" w:rsidRDefault="0052533C" w:rsidP="00C44E14">
            <w:pPr>
              <w:spacing w:line="240" w:lineRule="auto"/>
              <w:rPr>
                <w:noProof/>
              </w:rPr>
            </w:pPr>
            <w:r>
              <w:rPr>
                <w:noProof/>
              </w:rPr>
              <w:t>1-3</w:t>
            </w:r>
          </w:p>
        </w:tc>
        <w:tc>
          <w:tcPr>
            <w:tcW w:w="12347" w:type="dxa"/>
            <w:gridSpan w:val="8"/>
          </w:tcPr>
          <w:p w:rsidR="003A7E69" w:rsidRPr="0052533C" w:rsidRDefault="0052533C" w:rsidP="0052533C">
            <w:pPr>
              <w:pStyle w:val="ListParagraph"/>
              <w:numPr>
                <w:ilvl w:val="0"/>
                <w:numId w:val="21"/>
              </w:numPr>
              <w:spacing w:line="240" w:lineRule="auto"/>
              <w:rPr>
                <w:b/>
              </w:rPr>
            </w:pPr>
            <w:r w:rsidRPr="0052533C">
              <w:rPr>
                <w:rFonts w:ascii="Times New Roman" w:hAnsi="Times New Roman"/>
              </w:rPr>
              <w:t>Students will engage in study questions in lessons 1 through 3.</w:t>
            </w:r>
          </w:p>
        </w:tc>
      </w:tr>
      <w:tr w:rsidR="003A7E69" w:rsidTr="0052533C">
        <w:trPr>
          <w:trHeight w:val="466"/>
        </w:trPr>
        <w:tc>
          <w:tcPr>
            <w:tcW w:w="829" w:type="dxa"/>
          </w:tcPr>
          <w:p w:rsidR="003A7E69" w:rsidRPr="009505D0" w:rsidRDefault="0052533C" w:rsidP="00C44E14">
            <w:pPr>
              <w:spacing w:line="240" w:lineRule="auto"/>
              <w:rPr>
                <w:noProof/>
              </w:rPr>
            </w:pPr>
            <w:r>
              <w:rPr>
                <w:noProof/>
              </w:rPr>
              <w:t>4</w:t>
            </w:r>
          </w:p>
        </w:tc>
        <w:tc>
          <w:tcPr>
            <w:tcW w:w="12347" w:type="dxa"/>
            <w:gridSpan w:val="8"/>
          </w:tcPr>
          <w:p w:rsidR="003A7E69" w:rsidRPr="0052533C" w:rsidRDefault="0052533C" w:rsidP="0052533C">
            <w:pPr>
              <w:pStyle w:val="ListParagraph"/>
              <w:numPr>
                <w:ilvl w:val="0"/>
                <w:numId w:val="21"/>
              </w:numPr>
              <w:spacing w:line="240" w:lineRule="auto"/>
              <w:rPr>
                <w:b/>
              </w:rPr>
            </w:pPr>
            <w:r w:rsidRPr="0052533C">
              <w:rPr>
                <w:rFonts w:ascii="Times New Roman" w:hAnsi="Times New Roman"/>
              </w:rPr>
              <w:t>Students will complete “AS 3.2, Stem Poster”; “AS 3.3, Leaf Poster”; “AS 3.4, Identifying Monocot and Dicot Plants”; “AS 3.6, Plant Pictionary: Part I”; and “AS 3.7, Plant Pictionary: Part II.”</w:t>
            </w:r>
          </w:p>
        </w:tc>
      </w:tr>
      <w:tr w:rsidR="003A7E69" w:rsidTr="0052533C">
        <w:trPr>
          <w:trHeight w:val="466"/>
        </w:trPr>
        <w:tc>
          <w:tcPr>
            <w:tcW w:w="829" w:type="dxa"/>
          </w:tcPr>
          <w:p w:rsidR="003A7E69" w:rsidRPr="009505D0" w:rsidRDefault="003A7E69" w:rsidP="00C44E14">
            <w:pPr>
              <w:spacing w:line="240" w:lineRule="auto"/>
              <w:rPr>
                <w:noProof/>
              </w:rPr>
            </w:pPr>
          </w:p>
        </w:tc>
        <w:tc>
          <w:tcPr>
            <w:tcW w:w="12347" w:type="dxa"/>
            <w:gridSpan w:val="8"/>
          </w:tcPr>
          <w:p w:rsidR="003A7E69" w:rsidRPr="0052533C" w:rsidRDefault="0052533C" w:rsidP="0052533C">
            <w:pPr>
              <w:pStyle w:val="ListParagraph"/>
              <w:numPr>
                <w:ilvl w:val="0"/>
                <w:numId w:val="21"/>
              </w:numPr>
              <w:spacing w:line="240" w:lineRule="auto"/>
              <w:rPr>
                <w:b/>
              </w:rPr>
            </w:pPr>
            <w:r w:rsidRPr="0052533C">
              <w:rPr>
                <w:rFonts w:ascii="Times New Roman" w:hAnsi="Times New Roman"/>
              </w:rPr>
              <w:t>Additional activities that relate to the unit objective can be found under the heading “Other Activities and Strategies” in the following location: p. 161.</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52533C" w:rsidRPr="00B713A3" w:rsidRDefault="0052533C" w:rsidP="0052533C">
            <w:pPr>
              <w:pStyle w:val="zIndent1"/>
              <w:numPr>
                <w:ilvl w:val="0"/>
                <w:numId w:val="22"/>
              </w:numPr>
              <w:tabs>
                <w:tab w:val="clear" w:pos="720"/>
                <w:tab w:val="left" w:pos="550"/>
              </w:tabs>
              <w:ind w:left="550" w:hanging="330"/>
              <w:rPr>
                <w:rFonts w:ascii="Times New Roman" w:hAnsi="Times New Roman"/>
                <w:sz w:val="22"/>
              </w:rPr>
            </w:pPr>
            <w:r w:rsidRPr="00B713A3">
              <w:rPr>
                <w:rFonts w:ascii="Times New Roman" w:hAnsi="Times New Roman"/>
                <w:i/>
                <w:sz w:val="22"/>
              </w:rPr>
              <w:t>Greenhouse Operation and Management</w:t>
            </w:r>
            <w:r w:rsidRPr="00B713A3">
              <w:rPr>
                <w:rFonts w:ascii="Times New Roman" w:hAnsi="Times New Roman"/>
                <w:sz w:val="22"/>
              </w:rPr>
              <w:t>. University of Missouri-Columbia, Instructional Materials Laboratory, 2002.</w:t>
            </w:r>
          </w:p>
          <w:p w:rsidR="0052533C" w:rsidRPr="00B713A3" w:rsidRDefault="0052533C" w:rsidP="0052533C">
            <w:pPr>
              <w:pStyle w:val="zIndent1"/>
              <w:tabs>
                <w:tab w:val="left" w:pos="550"/>
              </w:tabs>
              <w:ind w:left="550" w:hanging="330"/>
              <w:rPr>
                <w:rFonts w:ascii="Times New Roman" w:hAnsi="Times New Roman"/>
                <w:sz w:val="22"/>
              </w:rPr>
            </w:pPr>
          </w:p>
          <w:p w:rsidR="0052533C" w:rsidRPr="00B713A3" w:rsidRDefault="0052533C" w:rsidP="0052533C">
            <w:pPr>
              <w:pStyle w:val="zIndent1"/>
              <w:numPr>
                <w:ilvl w:val="0"/>
                <w:numId w:val="22"/>
              </w:numPr>
              <w:tabs>
                <w:tab w:val="clear" w:pos="720"/>
                <w:tab w:val="left" w:pos="550"/>
              </w:tabs>
              <w:ind w:left="550" w:hanging="330"/>
              <w:rPr>
                <w:rFonts w:ascii="Times New Roman" w:hAnsi="Times New Roman"/>
                <w:sz w:val="22"/>
              </w:rPr>
            </w:pPr>
            <w:r w:rsidRPr="00B713A3">
              <w:rPr>
                <w:rFonts w:ascii="Times New Roman" w:hAnsi="Times New Roman"/>
                <w:sz w:val="22"/>
              </w:rPr>
              <w:t xml:space="preserve">Horticulture Publications. MU Extension. University of Missouri-Columbia. Accessed January 17, 2012, from </w:t>
            </w:r>
            <w:hyperlink r:id="rId12" w:history="1">
              <w:r w:rsidRPr="00A64AD3">
                <w:rPr>
                  <w:rStyle w:val="Hyperlink"/>
                  <w:rFonts w:ascii="Times New Roman" w:hAnsi="Times New Roman"/>
                  <w:sz w:val="22"/>
                </w:rPr>
                <w:t>http://extension.missouri.edu/main/DisplayCategory.aspx?C=34</w:t>
              </w:r>
            </w:hyperlink>
            <w:r w:rsidRPr="00B713A3">
              <w:rPr>
                <w:rFonts w:ascii="Times New Roman" w:hAnsi="Times New Roman"/>
                <w:sz w:val="22"/>
              </w:rPr>
              <w:br/>
            </w:r>
          </w:p>
          <w:p w:rsidR="0052533C" w:rsidRPr="00B713A3" w:rsidRDefault="0052533C" w:rsidP="0052533C">
            <w:pPr>
              <w:pStyle w:val="zIndent1"/>
              <w:numPr>
                <w:ilvl w:val="0"/>
                <w:numId w:val="22"/>
              </w:numPr>
              <w:tabs>
                <w:tab w:val="clear" w:pos="720"/>
                <w:tab w:val="left" w:pos="550"/>
              </w:tabs>
              <w:ind w:left="550" w:hanging="330"/>
              <w:rPr>
                <w:rFonts w:ascii="Times New Roman" w:hAnsi="Times New Roman"/>
                <w:sz w:val="22"/>
              </w:rPr>
            </w:pPr>
            <w:r w:rsidRPr="00B713A3">
              <w:rPr>
                <w:rFonts w:ascii="Times New Roman" w:hAnsi="Times New Roman"/>
                <w:sz w:val="22"/>
              </w:rPr>
              <w:t xml:space="preserve">The National Arbor Day Foundation. Accessed January 17, 2012, from </w:t>
            </w:r>
            <w:hyperlink r:id="rId13" w:history="1">
              <w:r w:rsidRPr="00B713A3">
                <w:rPr>
                  <w:rStyle w:val="Hyperlink"/>
                  <w:rFonts w:ascii="Times New Roman" w:hAnsi="Times New Roman"/>
                  <w:sz w:val="22"/>
                </w:rPr>
                <w:t>http://www.arborday.org/</w:t>
              </w:r>
            </w:hyperlink>
            <w:r w:rsidRPr="00B713A3">
              <w:rPr>
                <w:rFonts w:ascii="Times New Roman" w:hAnsi="Times New Roman"/>
                <w:sz w:val="22"/>
              </w:rPr>
              <w:t>.</w:t>
            </w:r>
          </w:p>
          <w:p w:rsidR="0052533C" w:rsidRPr="00B713A3" w:rsidRDefault="0052533C" w:rsidP="0052533C">
            <w:pPr>
              <w:pStyle w:val="zIndent1"/>
              <w:tabs>
                <w:tab w:val="left" w:pos="550"/>
              </w:tabs>
              <w:ind w:left="550" w:hanging="330"/>
              <w:rPr>
                <w:rFonts w:ascii="Times New Roman" w:hAnsi="Times New Roman"/>
                <w:sz w:val="22"/>
              </w:rPr>
            </w:pPr>
          </w:p>
          <w:p w:rsidR="0052533C" w:rsidRPr="00B713A3" w:rsidRDefault="0052533C" w:rsidP="0052533C">
            <w:pPr>
              <w:pStyle w:val="zIndent1"/>
              <w:numPr>
                <w:ilvl w:val="0"/>
                <w:numId w:val="22"/>
              </w:numPr>
              <w:tabs>
                <w:tab w:val="clear" w:pos="720"/>
                <w:tab w:val="left" w:pos="550"/>
              </w:tabs>
              <w:ind w:left="550" w:hanging="330"/>
              <w:rPr>
                <w:rFonts w:ascii="Times New Roman" w:hAnsi="Times New Roman"/>
                <w:sz w:val="22"/>
              </w:rPr>
            </w:pPr>
            <w:r w:rsidRPr="00B713A3">
              <w:rPr>
                <w:rFonts w:ascii="Times New Roman" w:hAnsi="Times New Roman"/>
                <w:sz w:val="22"/>
              </w:rPr>
              <w:t xml:space="preserve">Plants of Missouri. Missouri Department of Conservation. Accessed January 17, 2012, </w:t>
            </w:r>
            <w:r w:rsidRPr="00A64AD3">
              <w:rPr>
                <w:rFonts w:ascii="Times New Roman" w:hAnsi="Times New Roman"/>
                <w:sz w:val="22"/>
              </w:rPr>
              <w:t xml:space="preserve">from </w:t>
            </w:r>
            <w:hyperlink r:id="rId14" w:history="1">
              <w:r w:rsidRPr="00A64AD3">
                <w:rPr>
                  <w:rStyle w:val="Hyperlink"/>
                  <w:rFonts w:ascii="Times New Roman" w:hAnsi="Times New Roman"/>
                  <w:sz w:val="22"/>
                </w:rPr>
                <w:t>http://mdc.mo.gov/</w:t>
              </w:r>
            </w:hyperlink>
            <w:r w:rsidRPr="00A64AD3">
              <w:rPr>
                <w:rFonts w:ascii="Times New Roman" w:hAnsi="Times New Roman"/>
                <w:sz w:val="22"/>
              </w:rPr>
              <w:t xml:space="preserve"> </w:t>
            </w:r>
          </w:p>
          <w:p w:rsidR="0052533C" w:rsidRPr="00B713A3" w:rsidRDefault="0052533C" w:rsidP="0052533C">
            <w:pPr>
              <w:pStyle w:val="zIndent1"/>
              <w:tabs>
                <w:tab w:val="left" w:pos="550"/>
              </w:tabs>
              <w:ind w:left="550" w:hanging="330"/>
              <w:rPr>
                <w:rFonts w:ascii="Times New Roman" w:hAnsi="Times New Roman"/>
                <w:sz w:val="22"/>
              </w:rPr>
            </w:pPr>
          </w:p>
          <w:p w:rsidR="000F47EE" w:rsidRPr="0052533C" w:rsidRDefault="0052533C" w:rsidP="00BC4316">
            <w:pPr>
              <w:pStyle w:val="zIndent1"/>
              <w:numPr>
                <w:ilvl w:val="0"/>
                <w:numId w:val="22"/>
              </w:numPr>
              <w:tabs>
                <w:tab w:val="clear" w:pos="720"/>
                <w:tab w:val="left" w:pos="550"/>
              </w:tabs>
              <w:ind w:left="550" w:hanging="330"/>
              <w:rPr>
                <w:rFonts w:ascii="Times New Roman" w:hAnsi="Times New Roman"/>
                <w:sz w:val="22"/>
              </w:rPr>
            </w:pPr>
            <w:proofErr w:type="spellStart"/>
            <w:r w:rsidRPr="00B713A3">
              <w:rPr>
                <w:rFonts w:ascii="Times New Roman" w:hAnsi="Times New Roman"/>
                <w:sz w:val="22"/>
              </w:rPr>
              <w:t>Reiley</w:t>
            </w:r>
            <w:proofErr w:type="spellEnd"/>
            <w:r w:rsidRPr="00B713A3">
              <w:rPr>
                <w:rFonts w:ascii="Times New Roman" w:hAnsi="Times New Roman"/>
                <w:sz w:val="22"/>
              </w:rPr>
              <w:t xml:space="preserve">, H. E., &amp; </w:t>
            </w:r>
            <w:proofErr w:type="spellStart"/>
            <w:r w:rsidRPr="00B713A3">
              <w:rPr>
                <w:rFonts w:ascii="Times New Roman" w:hAnsi="Times New Roman"/>
                <w:sz w:val="22"/>
              </w:rPr>
              <w:t>Shry</w:t>
            </w:r>
            <w:proofErr w:type="spellEnd"/>
            <w:r w:rsidRPr="00B713A3">
              <w:rPr>
                <w:rFonts w:ascii="Times New Roman" w:hAnsi="Times New Roman"/>
                <w:sz w:val="22"/>
              </w:rPr>
              <w:t>, C. L., Jr.</w:t>
            </w:r>
            <w:r w:rsidRPr="00B713A3">
              <w:rPr>
                <w:rFonts w:ascii="Times New Roman" w:hAnsi="Times New Roman"/>
                <w:i/>
                <w:iCs/>
                <w:sz w:val="22"/>
              </w:rPr>
              <w:t xml:space="preserve"> Introductory Horticulture</w:t>
            </w:r>
            <w:r w:rsidRPr="00B713A3">
              <w:rPr>
                <w:rFonts w:ascii="Times New Roman" w:hAnsi="Times New Roman"/>
                <w:sz w:val="22"/>
              </w:rPr>
              <w:t>, 6</w:t>
            </w:r>
            <w:r w:rsidRPr="00B713A3">
              <w:rPr>
                <w:rFonts w:ascii="Times New Roman" w:hAnsi="Times New Roman"/>
                <w:sz w:val="22"/>
                <w:vertAlign w:val="superscript"/>
              </w:rPr>
              <w:t>th</w:t>
            </w:r>
            <w:r w:rsidRPr="00B713A3">
              <w:rPr>
                <w:rFonts w:ascii="Times New Roman" w:hAnsi="Times New Roman"/>
                <w:sz w:val="22"/>
              </w:rPr>
              <w:t xml:space="preserve"> ed., Delmar Learning, 2000.</w:t>
            </w:r>
          </w:p>
        </w:tc>
      </w:tr>
    </w:tbl>
    <w:p w:rsidR="00FD5A4D" w:rsidRPr="00323BA3" w:rsidRDefault="00FD5A4D" w:rsidP="005A0F5D">
      <w:pPr>
        <w:tabs>
          <w:tab w:val="left" w:pos="2338"/>
        </w:tabs>
        <w:rPr>
          <w:color w:val="FF0000"/>
        </w:rPr>
      </w:pPr>
      <w:bookmarkStart w:id="0" w:name="_GoBack"/>
      <w:bookmarkEnd w:id="0"/>
    </w:p>
    <w:sectPr w:rsidR="00FD5A4D" w:rsidRPr="00323BA3" w:rsidSect="0072740F">
      <w:headerReference w:type="default" r:id="rId15"/>
      <w:footerReference w:type="default" r:id="rId16"/>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32" w:rsidRDefault="00391632" w:rsidP="00FD5A4D">
      <w:pPr>
        <w:spacing w:after="0" w:line="240" w:lineRule="auto"/>
      </w:pPr>
      <w:r>
        <w:separator/>
      </w:r>
    </w:p>
  </w:endnote>
  <w:endnote w:type="continuationSeparator" w:id="0">
    <w:p w:rsidR="00391632" w:rsidRDefault="00391632" w:rsidP="00FD5A4D">
      <w:pPr>
        <w:spacing w:after="0" w:line="240" w:lineRule="auto"/>
      </w:pPr>
      <w:r>
        <w:continuationSeparator/>
      </w:r>
    </w:p>
  </w:endnote>
  <w:endnote w:type="continuationNotice" w:id="1">
    <w:p w:rsidR="00391632" w:rsidRDefault="00391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F02D2B">
      <w:rPr>
        <w:b/>
        <w:noProof/>
      </w:rPr>
      <w:t>4</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F02D2B">
      <w:rPr>
        <w:b/>
        <w:noProof/>
      </w:rPr>
      <w:t>4</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32" w:rsidRDefault="00391632" w:rsidP="00FD5A4D">
      <w:pPr>
        <w:spacing w:after="0" w:line="240" w:lineRule="auto"/>
      </w:pPr>
      <w:r>
        <w:separator/>
      </w:r>
    </w:p>
  </w:footnote>
  <w:footnote w:type="continuationSeparator" w:id="0">
    <w:p w:rsidR="00391632" w:rsidRDefault="00391632" w:rsidP="00FD5A4D">
      <w:pPr>
        <w:spacing w:after="0" w:line="240" w:lineRule="auto"/>
      </w:pPr>
      <w:r>
        <w:continuationSeparator/>
      </w:r>
    </w:p>
  </w:footnote>
  <w:footnote w:type="continuationNotice" w:id="1">
    <w:p w:rsidR="00391632" w:rsidRDefault="003916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B37ED0">
      <w:t>Plant Science Basics</w:t>
    </w:r>
    <w:r w:rsidR="005A0F5D">
      <w:tab/>
    </w:r>
    <w:r w:rsidR="0094250B">
      <w:t>Course</w:t>
    </w:r>
    <w:r>
      <w:t xml:space="preserve"> Code: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0C3"/>
    <w:multiLevelType w:val="hybridMultilevel"/>
    <w:tmpl w:val="9852024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88792B"/>
    <w:multiLevelType w:val="hybridMultilevel"/>
    <w:tmpl w:val="E5B6F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A3F27"/>
    <w:multiLevelType w:val="hybridMultilevel"/>
    <w:tmpl w:val="F1086C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D80E54"/>
    <w:multiLevelType w:val="hybridMultilevel"/>
    <w:tmpl w:val="4A6A2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B24BDC"/>
    <w:multiLevelType w:val="hybridMultilevel"/>
    <w:tmpl w:val="E8D25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17"/>
  </w:num>
  <w:num w:numId="4">
    <w:abstractNumId w:val="8"/>
  </w:num>
  <w:num w:numId="5">
    <w:abstractNumId w:val="14"/>
  </w:num>
  <w:num w:numId="6">
    <w:abstractNumId w:val="4"/>
  </w:num>
  <w:num w:numId="7">
    <w:abstractNumId w:val="10"/>
  </w:num>
  <w:num w:numId="8">
    <w:abstractNumId w:val="20"/>
  </w:num>
  <w:num w:numId="9">
    <w:abstractNumId w:val="3"/>
  </w:num>
  <w:num w:numId="10">
    <w:abstractNumId w:val="2"/>
  </w:num>
  <w:num w:numId="11">
    <w:abstractNumId w:val="19"/>
  </w:num>
  <w:num w:numId="12">
    <w:abstractNumId w:val="9"/>
  </w:num>
  <w:num w:numId="13">
    <w:abstractNumId w:val="5"/>
  </w:num>
  <w:num w:numId="14">
    <w:abstractNumId w:val="16"/>
  </w:num>
  <w:num w:numId="15">
    <w:abstractNumId w:val="15"/>
  </w:num>
  <w:num w:numId="16">
    <w:abstractNumId w:val="11"/>
  </w:num>
  <w:num w:numId="17">
    <w:abstractNumId w:val="13"/>
  </w:num>
  <w:num w:numId="18">
    <w:abstractNumId w:val="0"/>
  </w:num>
  <w:num w:numId="19">
    <w:abstractNumId w:val="6"/>
  </w:num>
  <w:num w:numId="20">
    <w:abstractNumId w:val="12"/>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0721">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23D7D"/>
    <w:rsid w:val="000553C2"/>
    <w:rsid w:val="00075C23"/>
    <w:rsid w:val="000B1A54"/>
    <w:rsid w:val="000E2AB8"/>
    <w:rsid w:val="000F12AC"/>
    <w:rsid w:val="000F47EE"/>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60715"/>
    <w:rsid w:val="004633F6"/>
    <w:rsid w:val="00467E84"/>
    <w:rsid w:val="004871C5"/>
    <w:rsid w:val="004E48C1"/>
    <w:rsid w:val="004F514F"/>
    <w:rsid w:val="00522002"/>
    <w:rsid w:val="0052533C"/>
    <w:rsid w:val="00526777"/>
    <w:rsid w:val="00574E3C"/>
    <w:rsid w:val="005940E9"/>
    <w:rsid w:val="005A0F5D"/>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322A8"/>
    <w:rsid w:val="00845D03"/>
    <w:rsid w:val="0086478D"/>
    <w:rsid w:val="008B1BC2"/>
    <w:rsid w:val="008B5FD1"/>
    <w:rsid w:val="008B69A1"/>
    <w:rsid w:val="008D6425"/>
    <w:rsid w:val="008E66A3"/>
    <w:rsid w:val="00917334"/>
    <w:rsid w:val="0094250B"/>
    <w:rsid w:val="009505D0"/>
    <w:rsid w:val="009C2B9E"/>
    <w:rsid w:val="00A33DF8"/>
    <w:rsid w:val="00A5553E"/>
    <w:rsid w:val="00AC243F"/>
    <w:rsid w:val="00B05A7F"/>
    <w:rsid w:val="00B13A4E"/>
    <w:rsid w:val="00B37ED0"/>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24DF"/>
    <w:rsid w:val="00E372C1"/>
    <w:rsid w:val="00E55D0C"/>
    <w:rsid w:val="00E5640C"/>
    <w:rsid w:val="00E82EFB"/>
    <w:rsid w:val="00F02D2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zIndent1">
    <w:name w:val="zIndent 1"/>
    <w:basedOn w:val="Normal"/>
    <w:rsid w:val="0052533C"/>
    <w:pPr>
      <w:spacing w:after="0" w:line="240" w:lineRule="auto"/>
      <w:ind w:left="360"/>
    </w:pPr>
    <w:rPr>
      <w:rFonts w:ascii="Book Antiqua" w:eastAsia="Times New Roman" w:hAnsi="Book Antiqua"/>
      <w:sz w:val="24"/>
      <w:szCs w:val="20"/>
    </w:rPr>
  </w:style>
  <w:style w:type="character" w:styleId="Hyperlink">
    <w:name w:val="Hyperlink"/>
    <w:rsid w:val="00525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rborda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xtension.missouri.edu/main/DisplayCategory.aspx?C=3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dc.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03ED19E-64F0-422F-9295-D18E751B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5</cp:revision>
  <cp:lastPrinted>2012-03-22T17:48:00Z</cp:lastPrinted>
  <dcterms:created xsi:type="dcterms:W3CDTF">2012-06-28T19:21:00Z</dcterms:created>
  <dcterms:modified xsi:type="dcterms:W3CDTF">2012-06-28T19:37:00Z</dcterms:modified>
</cp:coreProperties>
</file>