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611"/>
        <w:gridCol w:w="1478"/>
        <w:gridCol w:w="1316"/>
        <w:gridCol w:w="814"/>
        <w:gridCol w:w="23"/>
      </w:tblGrid>
      <w:tr w:rsidR="00825B1D" w:rsidTr="00932041">
        <w:trPr>
          <w:trHeight w:val="457"/>
        </w:trPr>
        <w:tc>
          <w:tcPr>
            <w:tcW w:w="13199" w:type="dxa"/>
            <w:gridSpan w:val="10"/>
          </w:tcPr>
          <w:p w:rsidR="00825B1D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Default="00825B1D" w:rsidP="00F50868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825B1D" w:rsidRDefault="00825B1D" w:rsidP="00F50868"/>
          <w:p w:rsidR="00825B1D" w:rsidRDefault="00825B1D" w:rsidP="00F50868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25B1D" w:rsidRPr="00C44E14" w:rsidRDefault="00825B1D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  <w:tr w:rsidR="00825B1D" w:rsidRPr="00DD40DF" w:rsidTr="00932041">
        <w:trPr>
          <w:gridAfter w:val="1"/>
          <w:wAfter w:w="23" w:type="dxa"/>
        </w:trPr>
        <w:tc>
          <w:tcPr>
            <w:tcW w:w="7604" w:type="dxa"/>
            <w:gridSpan w:val="3"/>
          </w:tcPr>
          <w:p w:rsidR="00825B1D" w:rsidRDefault="00825B1D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825B1D" w:rsidRPr="00355765" w:rsidRDefault="00825B1D" w:rsidP="00C44E14">
            <w:pPr>
              <w:spacing w:line="240" w:lineRule="auto"/>
            </w:pPr>
          </w:p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2 WEEKS            </w:t>
            </w:r>
            <w:r w:rsidRPr="00C44E14">
              <w:rPr>
                <w:b/>
              </w:rPr>
              <w:t xml:space="preserve">              </w:t>
            </w:r>
          </w:p>
          <w:p w:rsidR="00825B1D" w:rsidRPr="00C44E14" w:rsidRDefault="00825B1D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825B1D" w:rsidRPr="00DD40DF" w:rsidTr="00932041">
        <w:trPr>
          <w:gridAfter w:val="1"/>
          <w:wAfter w:w="23" w:type="dxa"/>
        </w:trPr>
        <w:tc>
          <w:tcPr>
            <w:tcW w:w="13176" w:type="dxa"/>
            <w:gridSpan w:val="9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825B1D" w:rsidRPr="00932041" w:rsidRDefault="00825B1D" w:rsidP="0093204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Determine fence selection based on application, location and cost.</w:t>
            </w:r>
          </w:p>
          <w:p w:rsidR="00825B1D" w:rsidRPr="00C44E14" w:rsidRDefault="00825B1D" w:rsidP="002C16F9">
            <w:pPr>
              <w:spacing w:line="240" w:lineRule="auto"/>
              <w:rPr>
                <w:b/>
              </w:rPr>
            </w:pPr>
          </w:p>
        </w:tc>
      </w:tr>
      <w:tr w:rsidR="00825B1D" w:rsidTr="00932041">
        <w:trPr>
          <w:gridAfter w:val="1"/>
          <w:wAfter w:w="23" w:type="dxa"/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825B1D" w:rsidRDefault="00825B1D" w:rsidP="00C44E14">
            <w:pPr>
              <w:spacing w:line="240" w:lineRule="auto"/>
            </w:pPr>
          </w:p>
        </w:tc>
      </w:tr>
      <w:tr w:rsidR="00825B1D" w:rsidTr="00932041">
        <w:trPr>
          <w:gridAfter w:val="1"/>
          <w:wAfter w:w="23" w:type="dxa"/>
          <w:trHeight w:val="467"/>
        </w:trPr>
        <w:tc>
          <w:tcPr>
            <w:tcW w:w="4989" w:type="dxa"/>
            <w:gridSpan w:val="2"/>
            <w:vMerge w:val="restart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  <w:vMerge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611" w:type="dxa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14" w:type="dxa"/>
          </w:tcPr>
          <w:p w:rsidR="00825B1D" w:rsidRPr="00C44E14" w:rsidRDefault="00825B1D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</w:pPr>
            <w:r w:rsidRPr="00957952">
              <w:t xml:space="preserve">Discuss the terminology, dangers, and safety </w:t>
            </w:r>
            <w:r>
              <w:t>practices asso</w:t>
            </w:r>
            <w:r w:rsidRPr="00957952">
              <w:t xml:space="preserve">ciated with building fences. 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6C1D36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N-Q-1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t>A-REI-3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RST11-12.4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t>SL</w:t>
            </w:r>
            <w:r>
              <w:rPr>
                <w:lang w:val="it-IT"/>
              </w:rPr>
              <w:t>11-12.1</w:t>
            </w:r>
          </w:p>
          <w:p w:rsidR="00825B1D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t xml:space="preserve">SL11-12.4 </w:t>
            </w:r>
          </w:p>
          <w:p w:rsidR="00E80DDA" w:rsidRPr="006C1D36" w:rsidRDefault="00E80DDA" w:rsidP="006C1D36">
            <w:pPr>
              <w:spacing w:after="0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1316" w:type="dxa"/>
          </w:tcPr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PST.01.03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PST.02.01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PST.04.02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PST.04.03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PST.04.04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PST.05.01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PST.05.02</w:t>
            </w:r>
          </w:p>
          <w:p w:rsidR="00825B1D" w:rsidRPr="00E80DDA" w:rsidRDefault="00825B1D" w:rsidP="006C1D36">
            <w:pPr>
              <w:spacing w:after="0" w:line="240" w:lineRule="auto"/>
              <w:rPr>
                <w:b/>
                <w:lang w:val="fr-FR"/>
              </w:rPr>
            </w:pPr>
            <w:r w:rsidRPr="00E80DD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</w:pPr>
            <w:r w:rsidRPr="00957952">
              <w:t>Describe how to set a</w:t>
            </w:r>
            <w:r>
              <w:t xml:space="preserve">nd brace wood and steel posts. 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E80DD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N-Q-1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lastRenderedPageBreak/>
              <w:t>A-REI-3</w:t>
            </w:r>
          </w:p>
          <w:p w:rsidR="00825B1D" w:rsidRDefault="00825B1D" w:rsidP="006C1D36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SL</w:t>
            </w:r>
            <w:r w:rsidRPr="006C1D36">
              <w:rPr>
                <w:lang w:val="it-IT"/>
              </w:rPr>
              <w:t xml:space="preserve">11-12.4 </w:t>
            </w:r>
          </w:p>
          <w:p w:rsidR="00825B1D" w:rsidRDefault="00825B1D" w:rsidP="006C1D36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RST11-12.9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L11-12.6</w:t>
            </w:r>
          </w:p>
        </w:tc>
        <w:tc>
          <w:tcPr>
            <w:tcW w:w="1316" w:type="dxa"/>
          </w:tcPr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lastRenderedPageBreak/>
              <w:t>PST.01.01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PST.01.03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PST.02.01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lastRenderedPageBreak/>
              <w:t>PST.04.02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PST.04.03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PST.04.04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PST.05.01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PST.05.02</w:t>
            </w:r>
          </w:p>
          <w:p w:rsidR="00825B1D" w:rsidRPr="00E80DDA" w:rsidRDefault="00825B1D" w:rsidP="006C1D36">
            <w:pPr>
              <w:spacing w:after="0" w:line="240" w:lineRule="auto"/>
              <w:rPr>
                <w:b/>
                <w:lang w:val="fr-FR"/>
              </w:rPr>
            </w:pPr>
            <w:r w:rsidRPr="00E80DD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957952">
              <w:lastRenderedPageBreak/>
              <w:t>Describe techniques for building barbed and woven wire fences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E80DD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N-Q-1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t>A-REI-3</w:t>
            </w:r>
          </w:p>
          <w:p w:rsidR="00825B1D" w:rsidRDefault="00825B1D" w:rsidP="0028090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SL</w:t>
            </w:r>
            <w:r w:rsidRPr="006C1D36">
              <w:rPr>
                <w:lang w:val="it-IT"/>
              </w:rPr>
              <w:t xml:space="preserve">11-12.4 </w:t>
            </w:r>
          </w:p>
          <w:p w:rsidR="00825B1D" w:rsidRDefault="00825B1D" w:rsidP="0028090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RST11-12.9</w:t>
            </w:r>
          </w:p>
          <w:p w:rsidR="00825B1D" w:rsidRPr="006C1D36" w:rsidRDefault="00825B1D" w:rsidP="0028090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L11-12.6</w:t>
            </w:r>
          </w:p>
        </w:tc>
        <w:tc>
          <w:tcPr>
            <w:tcW w:w="1316" w:type="dxa"/>
          </w:tcPr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PST.01.03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PST.02.01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PST.04.02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PST.04.03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PST.04.04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PST.05.01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PST.05.02</w:t>
            </w:r>
          </w:p>
          <w:p w:rsidR="00825B1D" w:rsidRPr="00E80DDA" w:rsidRDefault="00825B1D" w:rsidP="006C1D36">
            <w:pPr>
              <w:spacing w:after="0" w:line="240" w:lineRule="auto"/>
              <w:rPr>
                <w:b/>
                <w:lang w:val="fr-FR"/>
              </w:rPr>
            </w:pPr>
            <w:r w:rsidRPr="00E80DD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</w:pPr>
            <w:r w:rsidRPr="00957952">
              <w:t>Describe techniques for buildin</w:t>
            </w:r>
            <w:r>
              <w:t>g high tensile and electric fences.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E80DD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N-Q-1</w:t>
            </w:r>
          </w:p>
          <w:p w:rsidR="00825B1D" w:rsidRPr="006C1D36" w:rsidRDefault="00825B1D" w:rsidP="006C1D36">
            <w:pPr>
              <w:spacing w:after="0"/>
              <w:rPr>
                <w:lang w:val="it-IT"/>
              </w:rPr>
            </w:pPr>
            <w:r w:rsidRPr="006C1D36">
              <w:rPr>
                <w:lang w:val="it-IT"/>
              </w:rPr>
              <w:t>A-REI-3</w:t>
            </w:r>
          </w:p>
          <w:p w:rsidR="00825B1D" w:rsidRDefault="00825B1D" w:rsidP="00D83992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SL</w:t>
            </w:r>
            <w:r w:rsidRPr="006C1D36">
              <w:rPr>
                <w:lang w:val="it-IT"/>
              </w:rPr>
              <w:t xml:space="preserve">11-12.4 </w:t>
            </w:r>
          </w:p>
          <w:p w:rsidR="00825B1D" w:rsidRDefault="00825B1D" w:rsidP="00D83992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RST11-12.9</w:t>
            </w:r>
          </w:p>
          <w:p w:rsidR="00825B1D" w:rsidRPr="006C1D36" w:rsidRDefault="00825B1D" w:rsidP="00D83992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L11-12.6</w:t>
            </w:r>
          </w:p>
        </w:tc>
        <w:tc>
          <w:tcPr>
            <w:tcW w:w="1316" w:type="dxa"/>
          </w:tcPr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PST.01.03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PST.02.01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PST.04.02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PST.04.03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PST.04.04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PST.05.01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PST.05.02</w:t>
            </w:r>
          </w:p>
          <w:p w:rsidR="00825B1D" w:rsidRPr="00E80DDA" w:rsidRDefault="00825B1D" w:rsidP="006C1D36">
            <w:pPr>
              <w:spacing w:after="0" w:line="240" w:lineRule="auto"/>
              <w:rPr>
                <w:b/>
                <w:lang w:val="fr-FR"/>
              </w:rPr>
            </w:pPr>
            <w:r w:rsidRPr="00E80DD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</w:pPr>
            <w:r w:rsidRPr="00957952">
              <w:t>Identify fence mending techn</w:t>
            </w:r>
            <w:r>
              <w:t xml:space="preserve">iques. 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E80DD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lastRenderedPageBreak/>
              <w:t>N-Q-1</w:t>
            </w:r>
          </w:p>
          <w:p w:rsidR="00825B1D" w:rsidRDefault="00825B1D" w:rsidP="006C1D36">
            <w:pPr>
              <w:spacing w:after="0"/>
            </w:pPr>
            <w:r>
              <w:t>A-REI-3</w:t>
            </w:r>
          </w:p>
          <w:p w:rsidR="00825B1D" w:rsidRDefault="00825B1D" w:rsidP="006C1D36">
            <w:pPr>
              <w:spacing w:after="0"/>
            </w:pPr>
            <w:r>
              <w:t>RST11-12.9</w:t>
            </w:r>
          </w:p>
          <w:p w:rsidR="00825B1D" w:rsidRPr="006C1D36" w:rsidRDefault="00825B1D" w:rsidP="006C1D36">
            <w:pPr>
              <w:spacing w:after="0"/>
            </w:pPr>
            <w:r>
              <w:t xml:space="preserve">L11-12.6 </w:t>
            </w:r>
          </w:p>
        </w:tc>
        <w:tc>
          <w:tcPr>
            <w:tcW w:w="1316" w:type="dxa"/>
          </w:tcPr>
          <w:p w:rsidR="00825B1D" w:rsidRDefault="00825B1D" w:rsidP="006C1D36">
            <w:pPr>
              <w:spacing w:after="0"/>
            </w:pPr>
            <w:r>
              <w:lastRenderedPageBreak/>
              <w:t>PST.01.01</w:t>
            </w:r>
          </w:p>
          <w:p w:rsidR="00825B1D" w:rsidRDefault="00825B1D" w:rsidP="006C1D36">
            <w:pPr>
              <w:spacing w:after="0"/>
            </w:pPr>
            <w:r>
              <w:t>PST.01.03</w:t>
            </w:r>
          </w:p>
          <w:p w:rsidR="00825B1D" w:rsidRDefault="00825B1D" w:rsidP="006C1D36">
            <w:pPr>
              <w:spacing w:after="0"/>
            </w:pPr>
            <w:r>
              <w:t>PST.02.01</w:t>
            </w:r>
          </w:p>
          <w:p w:rsidR="00825B1D" w:rsidRDefault="00825B1D" w:rsidP="006C1D36">
            <w:pPr>
              <w:spacing w:after="0"/>
            </w:pPr>
            <w:r>
              <w:lastRenderedPageBreak/>
              <w:t>PST.04.01</w:t>
            </w:r>
          </w:p>
          <w:p w:rsidR="00825B1D" w:rsidRDefault="00825B1D" w:rsidP="006C1D36">
            <w:pPr>
              <w:spacing w:after="0"/>
            </w:pPr>
            <w:r>
              <w:t>PST.04.02</w:t>
            </w:r>
          </w:p>
          <w:p w:rsidR="00825B1D" w:rsidRDefault="00825B1D" w:rsidP="006C1D36">
            <w:pPr>
              <w:spacing w:after="0"/>
            </w:pPr>
            <w:r>
              <w:t>PST.04.03</w:t>
            </w:r>
          </w:p>
          <w:p w:rsidR="00825B1D" w:rsidRDefault="00825B1D" w:rsidP="006C1D36">
            <w:pPr>
              <w:spacing w:after="0"/>
            </w:pPr>
            <w:r>
              <w:t>PST.04.04</w:t>
            </w:r>
          </w:p>
          <w:p w:rsidR="00825B1D" w:rsidRDefault="00825B1D" w:rsidP="006C1D36">
            <w:pPr>
              <w:spacing w:after="0"/>
            </w:pPr>
            <w:r>
              <w:t>PST.05.01</w:t>
            </w:r>
          </w:p>
          <w:p w:rsidR="00825B1D" w:rsidRDefault="00825B1D" w:rsidP="006C1D36">
            <w:pPr>
              <w:spacing w:after="0"/>
            </w:pPr>
            <w:r>
              <w:t>PST.05.02</w:t>
            </w:r>
          </w:p>
          <w:p w:rsidR="00825B1D" w:rsidRPr="00C44E14" w:rsidRDefault="00825B1D" w:rsidP="006C1D36">
            <w:pPr>
              <w:spacing w:after="0" w:line="240" w:lineRule="auto"/>
              <w:rPr>
                <w:b/>
              </w:rPr>
            </w:pPr>
            <w: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825B1D" w:rsidTr="00606B2B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825B1D" w:rsidRPr="00932041" w:rsidRDefault="00825B1D" w:rsidP="00932041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957952">
              <w:lastRenderedPageBreak/>
              <w:t>Apply principles of correct fence installation by devising a fencing plan that complies with local codes and includes the materials used, cost, and layout of the fence.</w:t>
            </w:r>
          </w:p>
        </w:tc>
        <w:tc>
          <w:tcPr>
            <w:tcW w:w="2824" w:type="dxa"/>
            <w:gridSpan w:val="2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825B1D" w:rsidRPr="00C44E14" w:rsidRDefault="00825B1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825B1D" w:rsidRDefault="00825B1D" w:rsidP="006C1D36">
            <w:pPr>
              <w:spacing w:after="0"/>
            </w:pPr>
            <w:r>
              <w:t xml:space="preserve">G-CO-1      </w:t>
            </w:r>
          </w:p>
          <w:p w:rsidR="00825B1D" w:rsidRDefault="00825B1D" w:rsidP="006C1D36">
            <w:pPr>
              <w:spacing w:after="0"/>
            </w:pPr>
            <w:r>
              <w:t>G-CO-12</w:t>
            </w:r>
          </w:p>
          <w:p w:rsidR="00825B1D" w:rsidRDefault="00825B1D" w:rsidP="006C1D36">
            <w:pPr>
              <w:spacing w:after="0"/>
            </w:pPr>
            <w:r>
              <w:t xml:space="preserve">G-MG-2    </w:t>
            </w:r>
          </w:p>
          <w:p w:rsidR="00E80DDA" w:rsidRDefault="00E80DDA" w:rsidP="00E80DD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N-Q-1</w:t>
            </w:r>
          </w:p>
          <w:p w:rsidR="00825B1D" w:rsidRPr="00E80DDA" w:rsidRDefault="00825B1D" w:rsidP="006C1D36">
            <w:pPr>
              <w:spacing w:after="0"/>
            </w:pPr>
            <w:r w:rsidRPr="00E80DDA">
              <w:t>A-REI-3</w:t>
            </w:r>
          </w:p>
          <w:p w:rsidR="00825B1D" w:rsidRDefault="00825B1D" w:rsidP="00AA073E">
            <w:pPr>
              <w:spacing w:after="0"/>
            </w:pPr>
            <w:r>
              <w:t>RST11-12.7</w:t>
            </w:r>
          </w:p>
          <w:p w:rsidR="00825B1D" w:rsidRDefault="00825B1D" w:rsidP="00AA073E">
            <w:pPr>
              <w:spacing w:after="0"/>
            </w:pPr>
            <w:r>
              <w:t>RST11-12.3</w:t>
            </w:r>
          </w:p>
          <w:p w:rsidR="00825B1D" w:rsidRDefault="00825B1D" w:rsidP="00AA073E">
            <w:pPr>
              <w:spacing w:after="0"/>
            </w:pPr>
            <w:r>
              <w:t>RST11-12.9</w:t>
            </w:r>
          </w:p>
          <w:p w:rsidR="00825B1D" w:rsidRDefault="00825B1D" w:rsidP="00AA073E">
            <w:pPr>
              <w:spacing w:after="0"/>
            </w:pPr>
            <w:r>
              <w:t>L11-12.6</w:t>
            </w:r>
          </w:p>
          <w:p w:rsidR="00825B1D" w:rsidRPr="006C1D36" w:rsidRDefault="00825B1D" w:rsidP="00AA073E">
            <w:pPr>
              <w:spacing w:after="0"/>
              <w:rPr>
                <w:lang w:val="it-IT"/>
              </w:rPr>
            </w:pPr>
            <w:r>
              <w:t>WHST11-12.2</w:t>
            </w:r>
          </w:p>
        </w:tc>
        <w:tc>
          <w:tcPr>
            <w:tcW w:w="1316" w:type="dxa"/>
          </w:tcPr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PST.01.03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PST.02.01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PST.04.01</w:t>
            </w:r>
          </w:p>
          <w:p w:rsidR="00825B1D" w:rsidRPr="006C1D36" w:rsidRDefault="00825B1D" w:rsidP="006C1D36">
            <w:pPr>
              <w:spacing w:after="0"/>
              <w:rPr>
                <w:lang w:val="fr-FR"/>
              </w:rPr>
            </w:pPr>
            <w:r w:rsidRPr="006C1D36">
              <w:rPr>
                <w:lang w:val="fr-FR"/>
              </w:rPr>
              <w:t>PST.04.02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PST.04.03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PST.04.04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PST.05.01</w:t>
            </w:r>
          </w:p>
          <w:p w:rsidR="00825B1D" w:rsidRPr="00E80DDA" w:rsidRDefault="00825B1D" w:rsidP="006C1D36">
            <w:pPr>
              <w:spacing w:after="0"/>
              <w:rPr>
                <w:lang w:val="fr-FR"/>
              </w:rPr>
            </w:pPr>
            <w:r w:rsidRPr="00E80DDA">
              <w:rPr>
                <w:lang w:val="fr-FR"/>
              </w:rPr>
              <w:t>PST.05.02</w:t>
            </w:r>
          </w:p>
          <w:p w:rsidR="00825B1D" w:rsidRPr="00E80DDA" w:rsidRDefault="00825B1D" w:rsidP="006C1D36">
            <w:pPr>
              <w:spacing w:after="0" w:line="240" w:lineRule="auto"/>
              <w:rPr>
                <w:b/>
                <w:lang w:val="fr-FR"/>
              </w:rPr>
            </w:pPr>
            <w:r w:rsidRPr="00E80DD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825B1D" w:rsidRPr="003B76EF" w:rsidRDefault="00825B1D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13176" w:type="dxa"/>
            <w:gridSpan w:val="9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825B1D" w:rsidRPr="00EC65D4" w:rsidRDefault="00825B1D" w:rsidP="006C1D36">
            <w:pPr>
              <w:pStyle w:val="zIndent1"/>
              <w:tabs>
                <w:tab w:val="left" w:pos="5390"/>
              </w:tabs>
              <w:spacing w:after="120"/>
              <w:ind w:left="110"/>
              <w:rPr>
                <w:rFonts w:ascii="Times New Roman" w:hAnsi="Times New Roman"/>
                <w:sz w:val="20"/>
              </w:rPr>
            </w:pPr>
            <w:r w:rsidRPr="00957952">
              <w:rPr>
                <w:rFonts w:ascii="Times New Roman" w:hAnsi="Times New Roman"/>
                <w:sz w:val="22"/>
              </w:rPr>
              <w:t>Each student will devise a fencing plan for an area designated by the instructor. The plan will include the materials used, cost, and an aerial-view drawing to indicate the layout of the fence. Students must also determine what local building and zoning codes apply to the fence and must design a fence that complies with all relevant codes.</w:t>
            </w:r>
          </w:p>
          <w:p w:rsidR="00825B1D" w:rsidRPr="00957952" w:rsidRDefault="00825B1D" w:rsidP="006C1D36">
            <w:pPr>
              <w:pStyle w:val="zIndent1"/>
              <w:tabs>
                <w:tab w:val="left" w:pos="5390"/>
              </w:tabs>
              <w:ind w:left="110"/>
              <w:rPr>
                <w:rFonts w:ascii="Times New Roman" w:hAnsi="Times New Roman"/>
                <w:b/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Assessment will be based on the overall content and presentation of the fencing plan.</w:t>
            </w:r>
          </w:p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825B1D" w:rsidTr="00932041">
        <w:trPr>
          <w:gridAfter w:val="1"/>
          <w:wAfter w:w="23" w:type="dxa"/>
          <w:trHeight w:val="359"/>
        </w:trPr>
        <w:tc>
          <w:tcPr>
            <w:tcW w:w="828" w:type="dxa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825B1D" w:rsidRPr="00D2622A" w:rsidRDefault="00825B1D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825B1D" w:rsidTr="00932041">
        <w:trPr>
          <w:gridAfter w:val="1"/>
          <w:wAfter w:w="23" w:type="dxa"/>
          <w:trHeight w:val="359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825B1D" w:rsidRPr="00D2622A" w:rsidRDefault="00825B1D" w:rsidP="00C03168">
            <w:pPr>
              <w:pStyle w:val="ListParagraph"/>
              <w:numPr>
                <w:ilvl w:val="0"/>
                <w:numId w:val="21"/>
              </w:numPr>
            </w:pPr>
            <w:r>
              <w:t xml:space="preserve">Lecture, guest speaker, demonstrations, student application </w:t>
            </w:r>
            <w:r w:rsidRPr="0026519F">
              <w:t>using satellite images, and on sight comparisons.</w:t>
            </w:r>
          </w:p>
        </w:tc>
      </w:tr>
      <w:tr w:rsidR="00825B1D" w:rsidTr="00932041">
        <w:trPr>
          <w:gridAfter w:val="1"/>
          <w:wAfter w:w="23" w:type="dxa"/>
          <w:trHeight w:val="359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1-6</w:t>
            </w:r>
          </w:p>
        </w:tc>
        <w:tc>
          <w:tcPr>
            <w:tcW w:w="12348" w:type="dxa"/>
            <w:gridSpan w:val="8"/>
          </w:tcPr>
          <w:p w:rsidR="00825B1D" w:rsidRPr="00C44E14" w:rsidRDefault="00825B1D" w:rsidP="00C03168">
            <w:pPr>
              <w:pStyle w:val="ListParagraph"/>
              <w:numPr>
                <w:ilvl w:val="0"/>
                <w:numId w:val="21"/>
              </w:numPr>
            </w:pPr>
            <w:r>
              <w:t>Student application using satellite images</w:t>
            </w:r>
            <w:r w:rsidRPr="0026519F">
              <w:t xml:space="preserve"> and on sight comparisons.</w:t>
            </w:r>
          </w:p>
        </w:tc>
      </w:tr>
      <w:tr w:rsidR="00825B1D" w:rsidTr="00932041">
        <w:trPr>
          <w:gridAfter w:val="1"/>
          <w:wAfter w:w="23" w:type="dxa"/>
          <w:trHeight w:val="359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828" w:type="dxa"/>
          </w:tcPr>
          <w:p w:rsidR="00825B1D" w:rsidRPr="00C44E14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825B1D" w:rsidRPr="003A7E69" w:rsidRDefault="00825B1D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825B1D" w:rsidRPr="00C03168" w:rsidRDefault="00825B1D" w:rsidP="00C03168">
            <w:pPr>
              <w:pStyle w:val="ListParagraph"/>
              <w:numPr>
                <w:ilvl w:val="0"/>
                <w:numId w:val="20"/>
              </w:numPr>
            </w:pPr>
            <w:r w:rsidRPr="00957952">
              <w:t>Students will engage in study questions in lessons 1 through 5.</w:t>
            </w: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825B1D" w:rsidRPr="00C03168" w:rsidRDefault="00825B1D" w:rsidP="00C03168">
            <w:pPr>
              <w:pStyle w:val="ListParagraph"/>
              <w:numPr>
                <w:ilvl w:val="0"/>
                <w:numId w:val="20"/>
              </w:numPr>
            </w:pPr>
            <w:r w:rsidRPr="00957952">
              <w:t>Students will complete “AS 1.1, Building Legal Fences”; “AS 2.1, Constructing Model Brace Assemblies”; “JS 3.1, Constructing Barbed Wire Fencing”; “AS 4.1, Tensioning Fences</w:t>
            </w:r>
            <w:r>
              <w:t>”; and “AS 5.1, Splicing Wire.”</w:t>
            </w: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828" w:type="dxa"/>
          </w:tcPr>
          <w:p w:rsidR="00825B1D" w:rsidRPr="009505D0" w:rsidRDefault="00825B1D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825B1D" w:rsidRPr="00C03168" w:rsidRDefault="00825B1D" w:rsidP="00C03168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b/>
              </w:rPr>
            </w:pPr>
            <w:r w:rsidRPr="00957952">
              <w:t xml:space="preserve">Additional activities that relate to the unit objective can be found under the heading “Other Activities” in the following locations: </w:t>
            </w:r>
            <w:r w:rsidRPr="00957952">
              <w:br/>
              <w:t>p. VII-5, p. VII-16 (1), and p. VII-54.</w:t>
            </w:r>
          </w:p>
        </w:tc>
      </w:tr>
      <w:tr w:rsidR="00825B1D" w:rsidTr="00932041">
        <w:trPr>
          <w:gridAfter w:val="1"/>
          <w:wAfter w:w="23" w:type="dxa"/>
          <w:trHeight w:val="466"/>
        </w:trPr>
        <w:tc>
          <w:tcPr>
            <w:tcW w:w="13176" w:type="dxa"/>
            <w:gridSpan w:val="9"/>
          </w:tcPr>
          <w:p w:rsidR="00825B1D" w:rsidRDefault="00825B1D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246385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 xml:space="preserve">Call 1-800-DIG-RITE First. University of Missouri Outreach &amp; Extension. Lincoln University. Accessed January 17, 2012, from </w:t>
            </w:r>
            <w:hyperlink r:id="rId8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http://outreach.missouri.edu/webster/ag-edge/legal/dig-rite.html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246385">
              <w:rPr>
                <w:rFonts w:ascii="Times New Roman" w:hAnsi="Times New Roman"/>
                <w:i/>
                <w:sz w:val="22"/>
              </w:rPr>
              <w:t>Basic Procedures in Administration of Zoning Regulations: Appeals</w:t>
            </w:r>
            <w:r w:rsidRPr="00246385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246385">
              <w:rPr>
                <w:rFonts w:ascii="Times New Roman" w:hAnsi="Times New Roman"/>
                <w:sz w:val="22"/>
              </w:rPr>
              <w:t xml:space="preserve">, from </w:t>
            </w:r>
            <w:hyperlink r:id="rId9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http://muextension.missouri.edu/explore/commdm/dm7613.htm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246385">
              <w:rPr>
                <w:rFonts w:ascii="Times New Roman" w:hAnsi="Times New Roman"/>
                <w:i/>
                <w:sz w:val="22"/>
              </w:rPr>
              <w:t>Basic Procedures in Administration of Zoning Regulations: Making Applications</w:t>
            </w:r>
            <w:r w:rsidRPr="00246385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246385">
              <w:rPr>
                <w:rFonts w:ascii="Times New Roman" w:hAnsi="Times New Roman"/>
                <w:sz w:val="22"/>
              </w:rPr>
              <w:t xml:space="preserve">, from </w:t>
            </w:r>
            <w:hyperlink r:id="rId10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http://muextension.missouri.edu/explore/commdm/dm7612.htm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>Local regulatory agencies, such as the planning and development department, public works department, and county board of commissioners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 xml:space="preserve">Matthews, S. F. </w:t>
            </w:r>
            <w:r w:rsidRPr="00246385">
              <w:rPr>
                <w:rFonts w:ascii="Times New Roman" w:hAnsi="Times New Roman"/>
                <w:i/>
                <w:sz w:val="22"/>
              </w:rPr>
              <w:t>Missouri Fencing and Boundary Laws</w:t>
            </w:r>
            <w:r w:rsidRPr="00246385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246385">
              <w:rPr>
                <w:rFonts w:ascii="Times New Roman" w:hAnsi="Times New Roman"/>
                <w:sz w:val="22"/>
              </w:rPr>
              <w:t xml:space="preserve">, from </w:t>
            </w:r>
            <w:hyperlink r:id="rId11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http://muextension.missouri.edu/explore/agguides/agecon/g00810.htm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Pr="00246385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t xml:space="preserve">Phillips, R. E. </w:t>
            </w:r>
            <w:r w:rsidRPr="00246385">
              <w:rPr>
                <w:rFonts w:ascii="Times New Roman" w:hAnsi="Times New Roman"/>
                <w:i/>
                <w:sz w:val="22"/>
              </w:rPr>
              <w:t>Constructing Wire Fences</w:t>
            </w:r>
            <w:r w:rsidRPr="00246385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246385">
              <w:rPr>
                <w:rFonts w:ascii="Times New Roman" w:hAnsi="Times New Roman"/>
                <w:sz w:val="22"/>
              </w:rPr>
              <w:t xml:space="preserve">, from </w:t>
            </w:r>
            <w:hyperlink r:id="rId12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http://muextension.missouri.edu/explore/agguides/agengin/g01192.htm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246385">
              <w:rPr>
                <w:rFonts w:ascii="Times New Roman" w:hAnsi="Times New Roman"/>
                <w:sz w:val="22"/>
              </w:rPr>
              <w:br w:type="page"/>
              <w:t xml:space="preserve">Zulovich, J. M. </w:t>
            </w:r>
            <w:r w:rsidRPr="00246385">
              <w:rPr>
                <w:rFonts w:ascii="Times New Roman" w:hAnsi="Times New Roman"/>
                <w:i/>
                <w:sz w:val="22"/>
              </w:rPr>
              <w:t>Selecting Wire Fencing Materials</w:t>
            </w:r>
            <w:r w:rsidRPr="00246385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246385">
              <w:rPr>
                <w:rFonts w:ascii="Times New Roman" w:hAnsi="Times New Roman"/>
                <w:sz w:val="22"/>
              </w:rPr>
              <w:t xml:space="preserve">, from </w:t>
            </w:r>
            <w:hyperlink r:id="rId13" w:history="1">
              <w:r w:rsidRPr="00246385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http://muextension.missouri.edu/explore/agguides/agengin/g01191.htm</w:t>
              </w:r>
            </w:hyperlink>
            <w:r w:rsidRPr="00246385">
              <w:rPr>
                <w:rFonts w:ascii="Times New Roman" w:hAnsi="Times New Roman"/>
                <w:sz w:val="22"/>
              </w:rPr>
              <w:t>.</w:t>
            </w:r>
          </w:p>
          <w:p w:rsidR="00825B1D" w:rsidRPr="006C1D36" w:rsidRDefault="00825B1D" w:rsidP="006C1D36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6C1D36">
              <w:rPr>
                <w:rFonts w:ascii="Times New Roman" w:hAnsi="Times New Roman"/>
                <w:sz w:val="22"/>
              </w:rPr>
              <w:lastRenderedPageBreak/>
              <w:t>Students may use additional outside sources to complete this activity.</w:t>
            </w:r>
          </w:p>
          <w:p w:rsidR="00825B1D" w:rsidRPr="00C44E14" w:rsidRDefault="00825B1D" w:rsidP="00BC4316">
            <w:pPr>
              <w:spacing w:line="240" w:lineRule="auto"/>
              <w:rPr>
                <w:b/>
              </w:rPr>
            </w:pPr>
          </w:p>
        </w:tc>
      </w:tr>
    </w:tbl>
    <w:p w:rsidR="00825B1D" w:rsidRPr="00323BA3" w:rsidRDefault="00825B1D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lastRenderedPageBreak/>
        <w:tab/>
      </w:r>
    </w:p>
    <w:sectPr w:rsidR="00825B1D" w:rsidRPr="00323BA3" w:rsidSect="0072740F">
      <w:headerReference w:type="default" r:id="rId14"/>
      <w:footerReference w:type="default" r:id="rId15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1D" w:rsidRDefault="00825B1D" w:rsidP="00FD5A4D">
      <w:pPr>
        <w:spacing w:after="0" w:line="240" w:lineRule="auto"/>
      </w:pPr>
      <w:r>
        <w:separator/>
      </w:r>
    </w:p>
  </w:endnote>
  <w:endnote w:type="continuationSeparator" w:id="0">
    <w:p w:rsidR="00825B1D" w:rsidRDefault="00825B1D" w:rsidP="00FD5A4D">
      <w:pPr>
        <w:spacing w:after="0" w:line="240" w:lineRule="auto"/>
      </w:pPr>
      <w:r>
        <w:continuationSeparator/>
      </w:r>
    </w:p>
  </w:endnote>
  <w:endnote w:type="continuationNotice" w:id="1">
    <w:p w:rsidR="00825B1D" w:rsidRDefault="00825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1D" w:rsidRDefault="00825B1D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80DDA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E80DDA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1D" w:rsidRDefault="00825B1D" w:rsidP="00FD5A4D">
      <w:pPr>
        <w:spacing w:after="0" w:line="240" w:lineRule="auto"/>
      </w:pPr>
      <w:r>
        <w:separator/>
      </w:r>
    </w:p>
  </w:footnote>
  <w:footnote w:type="continuationSeparator" w:id="0">
    <w:p w:rsidR="00825B1D" w:rsidRDefault="00825B1D" w:rsidP="00FD5A4D">
      <w:pPr>
        <w:spacing w:after="0" w:line="240" w:lineRule="auto"/>
      </w:pPr>
      <w:r>
        <w:continuationSeparator/>
      </w:r>
    </w:p>
  </w:footnote>
  <w:footnote w:type="continuationNotice" w:id="1">
    <w:p w:rsidR="00825B1D" w:rsidRDefault="00825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1D" w:rsidRPr="006D3450" w:rsidRDefault="00825B1D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825B1D" w:rsidRDefault="00825B1D" w:rsidP="0015225E">
    <w:pPr>
      <w:pStyle w:val="Header"/>
    </w:pPr>
    <w:r>
      <w:t>GRADE LEVEL/UNIT TITLE: 11-12/Fencing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A327AC6"/>
    <w:multiLevelType w:val="hybridMultilevel"/>
    <w:tmpl w:val="B2FA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664F0E"/>
    <w:multiLevelType w:val="hybridMultilevel"/>
    <w:tmpl w:val="071E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C166E"/>
    <w:multiLevelType w:val="hybridMultilevel"/>
    <w:tmpl w:val="7F38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FA0E1D"/>
    <w:multiLevelType w:val="hybridMultilevel"/>
    <w:tmpl w:val="1D489DA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7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553C2"/>
    <w:rsid w:val="00075C23"/>
    <w:rsid w:val="000B1A54"/>
    <w:rsid w:val="000E2AB8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1C7341"/>
    <w:rsid w:val="0020289B"/>
    <w:rsid w:val="00213C42"/>
    <w:rsid w:val="00223F54"/>
    <w:rsid w:val="002316F3"/>
    <w:rsid w:val="00233170"/>
    <w:rsid w:val="00246385"/>
    <w:rsid w:val="00254338"/>
    <w:rsid w:val="0026519F"/>
    <w:rsid w:val="00280904"/>
    <w:rsid w:val="00286FAE"/>
    <w:rsid w:val="002C16F9"/>
    <w:rsid w:val="00321BC1"/>
    <w:rsid w:val="00323492"/>
    <w:rsid w:val="00323BA3"/>
    <w:rsid w:val="00342621"/>
    <w:rsid w:val="00353AA8"/>
    <w:rsid w:val="00355765"/>
    <w:rsid w:val="00357947"/>
    <w:rsid w:val="00366003"/>
    <w:rsid w:val="00382DC2"/>
    <w:rsid w:val="00391632"/>
    <w:rsid w:val="003A7E69"/>
    <w:rsid w:val="003B76EF"/>
    <w:rsid w:val="003F192D"/>
    <w:rsid w:val="003F1F66"/>
    <w:rsid w:val="003F3B33"/>
    <w:rsid w:val="004633F6"/>
    <w:rsid w:val="00467E84"/>
    <w:rsid w:val="004871C5"/>
    <w:rsid w:val="004E48C1"/>
    <w:rsid w:val="004F514F"/>
    <w:rsid w:val="00522002"/>
    <w:rsid w:val="00526777"/>
    <w:rsid w:val="00574E3C"/>
    <w:rsid w:val="005940E9"/>
    <w:rsid w:val="005A0F5D"/>
    <w:rsid w:val="00606B2B"/>
    <w:rsid w:val="00621267"/>
    <w:rsid w:val="00655BF0"/>
    <w:rsid w:val="006569A4"/>
    <w:rsid w:val="00695161"/>
    <w:rsid w:val="006C1D36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80447A"/>
    <w:rsid w:val="008057B5"/>
    <w:rsid w:val="00825B1D"/>
    <w:rsid w:val="008322A8"/>
    <w:rsid w:val="00845D03"/>
    <w:rsid w:val="0086478D"/>
    <w:rsid w:val="008B1BC2"/>
    <w:rsid w:val="008B5FD1"/>
    <w:rsid w:val="008B69A1"/>
    <w:rsid w:val="008D6425"/>
    <w:rsid w:val="008E66A3"/>
    <w:rsid w:val="00917334"/>
    <w:rsid w:val="00932041"/>
    <w:rsid w:val="0094250B"/>
    <w:rsid w:val="009505D0"/>
    <w:rsid w:val="00957952"/>
    <w:rsid w:val="009C2B9E"/>
    <w:rsid w:val="00A33DF8"/>
    <w:rsid w:val="00A5553E"/>
    <w:rsid w:val="00AA073E"/>
    <w:rsid w:val="00AA0BA7"/>
    <w:rsid w:val="00AC243F"/>
    <w:rsid w:val="00B05A7F"/>
    <w:rsid w:val="00B13A4E"/>
    <w:rsid w:val="00BB21C0"/>
    <w:rsid w:val="00BB7AD7"/>
    <w:rsid w:val="00BC09A6"/>
    <w:rsid w:val="00BC4316"/>
    <w:rsid w:val="00C03168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D01C5F"/>
    <w:rsid w:val="00D12505"/>
    <w:rsid w:val="00D2622A"/>
    <w:rsid w:val="00D35DED"/>
    <w:rsid w:val="00D56C18"/>
    <w:rsid w:val="00D57E50"/>
    <w:rsid w:val="00D778E5"/>
    <w:rsid w:val="00D805BC"/>
    <w:rsid w:val="00D83992"/>
    <w:rsid w:val="00DC5E54"/>
    <w:rsid w:val="00DD40DF"/>
    <w:rsid w:val="00E215AA"/>
    <w:rsid w:val="00E372C1"/>
    <w:rsid w:val="00E55D0C"/>
    <w:rsid w:val="00E5640C"/>
    <w:rsid w:val="00E67830"/>
    <w:rsid w:val="00E80DDA"/>
    <w:rsid w:val="00E82EFB"/>
    <w:rsid w:val="00EC65D4"/>
    <w:rsid w:val="00F072CD"/>
    <w:rsid w:val="00F25111"/>
    <w:rsid w:val="00F50868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">
    <w:name w:val="zIndent 1"/>
    <w:basedOn w:val="Normal"/>
    <w:uiPriority w:val="99"/>
    <w:rsid w:val="006C1D36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6C1D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reach.missouri.edu/webster/ag-edge/legal/dig-rite.html" TargetMode="External"/><Relationship Id="rId13" Type="http://schemas.openxmlformats.org/officeDocument/2006/relationships/hyperlink" Target="http://muextension.missouri.edu/explore/agguides/agengin/g0119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extension.missouri.edu/explore/agguides/agengin/g01192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extension.missouri.edu/explore/agguides/agecon/g00810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extension.missouri.edu/explore/commdm/dm76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extension.missouri.edu/explore/commdm/dm7613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932</Words>
  <Characters>5314</Characters>
  <Application>Microsoft Office Word</Application>
  <DocSecurity>0</DocSecurity>
  <Lines>44</Lines>
  <Paragraphs>12</Paragraphs>
  <ScaleCrop>false</ScaleCrop>
  <Company>DESE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15</cp:revision>
  <cp:lastPrinted>2012-03-22T17:48:00Z</cp:lastPrinted>
  <dcterms:created xsi:type="dcterms:W3CDTF">2012-05-23T18:04:00Z</dcterms:created>
  <dcterms:modified xsi:type="dcterms:W3CDTF">2012-06-28T17:24:00Z</dcterms:modified>
</cp:coreProperties>
</file>