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8F8" w:rsidRDefault="00B258F8"/>
    <w:p w:rsidR="00082A2B" w:rsidRDefault="00082A2B"/>
    <w:p w:rsidR="00082A2B" w:rsidRDefault="00082A2B"/>
    <w:p w:rsidR="00082A2B" w:rsidRDefault="001F4CDC">
      <w:r w:rsidRPr="00A6778B">
        <w:rPr>
          <w:highlight w:val="yellow"/>
        </w:rPr>
        <w:t>Best in line</w:t>
      </w:r>
      <w:r>
        <w:t xml:space="preserve">   </w:t>
      </w:r>
      <w:proofErr w:type="gramStart"/>
      <w:r w:rsidRPr="001F4CDC">
        <w:rPr>
          <w:highlight w:val="red"/>
        </w:rPr>
        <w:t>Worst</w:t>
      </w:r>
      <w:proofErr w:type="gramEnd"/>
      <w:r w:rsidRPr="001F4CDC">
        <w:rPr>
          <w:highlight w:val="red"/>
        </w:rPr>
        <w:t xml:space="preserve"> in line</w:t>
      </w:r>
      <w:r>
        <w:t xml:space="preserve"> </w:t>
      </w:r>
      <w:r w:rsidR="00A6778B">
        <w:t xml:space="preserve"> </w:t>
      </w:r>
      <w:r>
        <w:t xml:space="preserve"> </w:t>
      </w:r>
      <w:r w:rsidR="00A6778B">
        <w:rPr>
          <w:highlight w:val="green"/>
        </w:rPr>
        <w:t>Highly significan</w:t>
      </w:r>
      <w:r w:rsidR="00A6778B" w:rsidRPr="00A6778B">
        <w:rPr>
          <w:highlight w:val="green"/>
        </w:rPr>
        <w:t>t*</w:t>
      </w:r>
      <w:r>
        <w:t xml:space="preserve"> </w:t>
      </w:r>
    </w:p>
    <w:tbl>
      <w:tblPr>
        <w:tblStyle w:val="MediumList2-Accent5"/>
        <w:tblW w:w="5000" w:type="pct"/>
        <w:tblLook w:val="04A0"/>
      </w:tblPr>
      <w:tblGrid>
        <w:gridCol w:w="2362"/>
        <w:gridCol w:w="1803"/>
        <w:gridCol w:w="1803"/>
        <w:gridCol w:w="1804"/>
        <w:gridCol w:w="1804"/>
      </w:tblGrid>
      <w:tr w:rsidR="00E572E6" w:rsidTr="00FB6DC9">
        <w:trPr>
          <w:cnfStyle w:val="100000000000"/>
          <w:cantSplit/>
          <w:trHeight w:val="516"/>
        </w:trPr>
        <w:tc>
          <w:tcPr>
            <w:cnfStyle w:val="001000000100"/>
            <w:tcW w:w="1233" w:type="pct"/>
            <w:noWrap/>
            <w:vAlign w:val="bottom"/>
          </w:tcPr>
          <w:p w:rsidR="00E572E6" w:rsidRPr="005048C1" w:rsidRDefault="005048C1" w:rsidP="00F048F6">
            <w:pPr>
              <w:rPr>
                <w:sz w:val="20"/>
                <w:szCs w:val="20"/>
              </w:rPr>
            </w:pPr>
            <w:r>
              <w:t>2 March 2009</w:t>
            </w:r>
          </w:p>
        </w:tc>
        <w:tc>
          <w:tcPr>
            <w:tcW w:w="941" w:type="pct"/>
            <w:vAlign w:val="bottom"/>
          </w:tcPr>
          <w:p w:rsidR="00E572E6" w:rsidRDefault="00E572E6" w:rsidP="00160063">
            <w:pPr>
              <w:jc w:val="right"/>
              <w:cnfStyle w:val="100000000000"/>
            </w:pPr>
            <w:proofErr w:type="spellStart"/>
            <w:r>
              <w:t>Wendys</w:t>
            </w:r>
            <w:proofErr w:type="spellEnd"/>
            <w:r>
              <w:t>/</w:t>
            </w:r>
            <w:proofErr w:type="spellStart"/>
            <w:r>
              <w:t>Arbys</w:t>
            </w:r>
            <w:proofErr w:type="spellEnd"/>
          </w:p>
        </w:tc>
        <w:tc>
          <w:tcPr>
            <w:tcW w:w="941" w:type="pct"/>
            <w:vAlign w:val="bottom"/>
          </w:tcPr>
          <w:p w:rsidR="00E572E6" w:rsidRDefault="00E572E6" w:rsidP="00160063">
            <w:pPr>
              <w:jc w:val="right"/>
              <w:cnfStyle w:val="100000000000"/>
            </w:pPr>
            <w:r>
              <w:t>McDonalds</w:t>
            </w:r>
          </w:p>
        </w:tc>
        <w:tc>
          <w:tcPr>
            <w:tcW w:w="942" w:type="pct"/>
            <w:vAlign w:val="bottom"/>
          </w:tcPr>
          <w:p w:rsidR="00E572E6" w:rsidRDefault="005048C1" w:rsidP="00160063">
            <w:pPr>
              <w:jc w:val="right"/>
              <w:cnfStyle w:val="100000000000"/>
            </w:pPr>
            <w:r>
              <w:t>Industry</w:t>
            </w:r>
          </w:p>
        </w:tc>
        <w:tc>
          <w:tcPr>
            <w:tcW w:w="942" w:type="pct"/>
            <w:vAlign w:val="bottom"/>
          </w:tcPr>
          <w:p w:rsidR="00E572E6" w:rsidRDefault="005048C1" w:rsidP="00160063">
            <w:pPr>
              <w:jc w:val="right"/>
              <w:cnfStyle w:val="100000000000"/>
            </w:pPr>
            <w:r>
              <w:t>S&amp;P 500</w:t>
            </w:r>
          </w:p>
        </w:tc>
      </w:tr>
      <w:tr w:rsidR="00E572E6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Pr="004C05B8" w:rsidRDefault="00E572E6" w:rsidP="00F048F6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4C05B8">
              <w:rPr>
                <w:rFonts w:ascii="MS Reference Sans Serif" w:hAnsi="MS Reference Sans Serif"/>
                <w:b/>
                <w:sz w:val="20"/>
                <w:szCs w:val="20"/>
              </w:rPr>
              <w:t>Growth Rates %</w:t>
            </w:r>
          </w:p>
        </w:tc>
        <w:tc>
          <w:tcPr>
            <w:tcW w:w="941" w:type="pct"/>
            <w:vAlign w:val="bottom"/>
          </w:tcPr>
          <w:p w:rsidR="00E572E6" w:rsidRPr="00082A2B" w:rsidRDefault="00E572E6" w:rsidP="00416C17">
            <w:pPr>
              <w:jc w:val="right"/>
              <w:cnfStyle w:val="000000100000"/>
              <w:rPr>
                <w:rStyle w:val="SubtleEmphasis"/>
                <w:i w:val="0"/>
              </w:rPr>
            </w:pPr>
          </w:p>
        </w:tc>
        <w:tc>
          <w:tcPr>
            <w:tcW w:w="941" w:type="pct"/>
            <w:vAlign w:val="bottom"/>
          </w:tcPr>
          <w:p w:rsidR="00E572E6" w:rsidRDefault="00E572E6" w:rsidP="00416C17">
            <w:pPr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E572E6" w:rsidRDefault="00E572E6" w:rsidP="00416C17">
            <w:pPr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E572E6" w:rsidRDefault="00E572E6" w:rsidP="00416C17">
            <w:pPr>
              <w:jc w:val="right"/>
              <w:cnfStyle w:val="000000100000"/>
            </w:pPr>
          </w:p>
        </w:tc>
      </w:tr>
      <w:tr w:rsidR="00E572E6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5048C1" w:rsidP="00416C17">
            <w:r>
              <w:t>Sales</w:t>
            </w:r>
          </w:p>
          <w:p w:rsidR="00082A2B" w:rsidRDefault="00082A2B" w:rsidP="00416C17">
            <w:r>
              <w:t xml:space="preserve">(Qtr </w:t>
            </w:r>
            <w:proofErr w:type="spellStart"/>
            <w:r>
              <w:t>vs</w:t>
            </w:r>
            <w:proofErr w:type="spellEnd"/>
            <w:r>
              <w:t xml:space="preserve"> yr. ago qtr)</w:t>
            </w:r>
          </w:p>
        </w:tc>
        <w:tc>
          <w:tcPr>
            <w:tcW w:w="941" w:type="pct"/>
            <w:vAlign w:val="bottom"/>
          </w:tcPr>
          <w:p w:rsidR="00E572E6" w:rsidRDefault="00F048F6" w:rsidP="00416C17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-4.30</w:t>
            </w:r>
          </w:p>
        </w:tc>
        <w:tc>
          <w:tcPr>
            <w:tcW w:w="941" w:type="pct"/>
            <w:vAlign w:val="bottom"/>
          </w:tcPr>
          <w:p w:rsidR="00E572E6" w:rsidRDefault="00F048F6" w:rsidP="00416C17">
            <w:pPr>
              <w:pStyle w:val="DecimalAligned"/>
              <w:jc w:val="right"/>
              <w:cnfStyle w:val="000000000000"/>
            </w:pPr>
            <w:r>
              <w:t>-3.30</w:t>
            </w:r>
          </w:p>
        </w:tc>
        <w:tc>
          <w:tcPr>
            <w:tcW w:w="942" w:type="pct"/>
            <w:vAlign w:val="bottom"/>
          </w:tcPr>
          <w:p w:rsidR="00E572E6" w:rsidRPr="00FB6DC9" w:rsidRDefault="00F048F6" w:rsidP="00416C17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-0.10</w:t>
            </w:r>
          </w:p>
        </w:tc>
        <w:tc>
          <w:tcPr>
            <w:tcW w:w="942" w:type="pct"/>
            <w:vAlign w:val="bottom"/>
          </w:tcPr>
          <w:p w:rsidR="00E572E6" w:rsidRDefault="00F048F6" w:rsidP="00416C17">
            <w:pPr>
              <w:pStyle w:val="DecimalAligned"/>
              <w:jc w:val="right"/>
              <w:cnfStyle w:val="000000000000"/>
            </w:pPr>
            <w:r>
              <w:t>-3.10</w:t>
            </w:r>
          </w:p>
        </w:tc>
      </w:tr>
      <w:tr w:rsidR="005048C1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5048C1" w:rsidRDefault="005048C1" w:rsidP="00416C17">
            <w:r>
              <w:t>Sales</w:t>
            </w:r>
          </w:p>
          <w:p w:rsidR="004C05B8" w:rsidRDefault="004C05B8" w:rsidP="00416C17">
            <w:r>
              <w:t>(5-yr</w:t>
            </w:r>
            <w:r w:rsidR="00082A2B">
              <w:t>. Annual a</w:t>
            </w:r>
            <w:r>
              <w:t>vg.)</w:t>
            </w:r>
          </w:p>
        </w:tc>
        <w:tc>
          <w:tcPr>
            <w:tcW w:w="941" w:type="pct"/>
          </w:tcPr>
          <w:p w:rsidR="005048C1" w:rsidRPr="00FB6DC9" w:rsidRDefault="001F4CDC" w:rsidP="00416C17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1F4CDC">
              <w:rPr>
                <w:highlight w:val="green"/>
              </w:rPr>
              <w:t>*</w:t>
            </w:r>
            <w:r w:rsidR="00F048F6" w:rsidRPr="00FB6DC9">
              <w:rPr>
                <w:highlight w:val="yellow"/>
              </w:rPr>
              <w:t>66.83</w:t>
            </w:r>
          </w:p>
        </w:tc>
        <w:tc>
          <w:tcPr>
            <w:tcW w:w="941" w:type="pct"/>
          </w:tcPr>
          <w:p w:rsidR="005048C1" w:rsidRDefault="00F048F6" w:rsidP="00416C17">
            <w:pPr>
              <w:pStyle w:val="DecimalAligned"/>
              <w:jc w:val="right"/>
              <w:cnfStyle w:val="000000100000"/>
            </w:pPr>
            <w:r w:rsidRPr="00297D50">
              <w:rPr>
                <w:highlight w:val="red"/>
              </w:rPr>
              <w:t>6.53</w:t>
            </w:r>
          </w:p>
        </w:tc>
        <w:tc>
          <w:tcPr>
            <w:tcW w:w="942" w:type="pct"/>
          </w:tcPr>
          <w:p w:rsidR="005048C1" w:rsidRDefault="00F048F6" w:rsidP="00416C17">
            <w:pPr>
              <w:pStyle w:val="DecimalAligned"/>
              <w:jc w:val="right"/>
              <w:cnfStyle w:val="000000100000"/>
            </w:pPr>
            <w:r>
              <w:t>8.34</w:t>
            </w:r>
          </w:p>
        </w:tc>
        <w:tc>
          <w:tcPr>
            <w:tcW w:w="942" w:type="pct"/>
          </w:tcPr>
          <w:p w:rsidR="005048C1" w:rsidRDefault="00F048F6" w:rsidP="00416C17">
            <w:pPr>
              <w:pStyle w:val="DecimalAligned"/>
              <w:jc w:val="right"/>
              <w:cnfStyle w:val="000000100000"/>
            </w:pPr>
            <w:r>
              <w:t>12.99</w:t>
            </w:r>
          </w:p>
        </w:tc>
      </w:tr>
      <w:tr w:rsidR="00F048F6" w:rsidRPr="00F048F6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F048F6" w:rsidRPr="00F048F6" w:rsidRDefault="00F048F6" w:rsidP="00F048F6">
            <w:r w:rsidRPr="00F048F6">
              <w:t>Net Income</w:t>
            </w:r>
          </w:p>
        </w:tc>
        <w:tc>
          <w:tcPr>
            <w:tcW w:w="941" w:type="pct"/>
          </w:tcPr>
          <w:p w:rsidR="00F048F6" w:rsidRPr="00297D50" w:rsidRDefault="00A6778B" w:rsidP="00416C17">
            <w:pPr>
              <w:jc w:val="right"/>
              <w:cnfStyle w:val="000000000000"/>
              <w:rPr>
                <w:rStyle w:val="SubtleEmphasis"/>
                <w:i w:val="0"/>
                <w:color w:val="auto"/>
                <w:sz w:val="20"/>
                <w:szCs w:val="20"/>
              </w:rPr>
            </w:pPr>
            <w:r>
              <w:rPr>
                <w:rStyle w:val="SubtleEmphasis"/>
                <w:b/>
                <w:i w:val="0"/>
                <w:color w:val="auto"/>
                <w:sz w:val="20"/>
                <w:szCs w:val="20"/>
              </w:rPr>
              <w:t>*</w:t>
            </w:r>
            <w:r w:rsidR="001F4CDC" w:rsidRPr="001F4CDC">
              <w:rPr>
                <w:rStyle w:val="SubtleEmphasis"/>
                <w:b/>
                <w:i w:val="0"/>
                <w:color w:val="auto"/>
                <w:sz w:val="20"/>
                <w:szCs w:val="20"/>
              </w:rPr>
              <w:t>*</w:t>
            </w:r>
            <w:r w:rsidR="00F048F6" w:rsidRPr="00297D50">
              <w:rPr>
                <w:rStyle w:val="SubtleEmphasis"/>
                <w:b/>
                <w:i w:val="0"/>
                <w:color w:val="auto"/>
                <w:sz w:val="20"/>
                <w:szCs w:val="20"/>
              </w:rPr>
              <w:t>-</w:t>
            </w:r>
            <w:r w:rsidR="00160063" w:rsidRPr="00297D50">
              <w:rPr>
                <w:rStyle w:val="SubtleEmphasis"/>
                <w:b/>
                <w:i w:val="0"/>
                <w:color w:val="auto"/>
                <w:sz w:val="20"/>
                <w:szCs w:val="20"/>
              </w:rPr>
              <w:t>458.20</w:t>
            </w:r>
          </w:p>
        </w:tc>
        <w:tc>
          <w:tcPr>
            <w:tcW w:w="941" w:type="pct"/>
          </w:tcPr>
          <w:p w:rsidR="00F048F6" w:rsidRPr="00FB6DC9" w:rsidRDefault="00160063" w:rsidP="00416C17">
            <w:pPr>
              <w:jc w:val="right"/>
              <w:cnfStyle w:val="000000000000"/>
              <w:rPr>
                <w:sz w:val="20"/>
                <w:szCs w:val="20"/>
                <w:highlight w:val="yellow"/>
              </w:rPr>
            </w:pPr>
            <w:r w:rsidRPr="00FB6DC9">
              <w:rPr>
                <w:sz w:val="20"/>
                <w:szCs w:val="20"/>
                <w:highlight w:val="yellow"/>
              </w:rPr>
              <w:t>-22.60</w:t>
            </w:r>
          </w:p>
        </w:tc>
        <w:tc>
          <w:tcPr>
            <w:tcW w:w="942" w:type="pct"/>
          </w:tcPr>
          <w:p w:rsidR="00F048F6" w:rsidRPr="00F048F6" w:rsidRDefault="00160063" w:rsidP="00416C17">
            <w:pPr>
              <w:jc w:val="right"/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-34.60</w:t>
            </w:r>
          </w:p>
        </w:tc>
        <w:tc>
          <w:tcPr>
            <w:tcW w:w="942" w:type="pct"/>
          </w:tcPr>
          <w:p w:rsidR="00F048F6" w:rsidRPr="00F048F6" w:rsidRDefault="00160063" w:rsidP="00416C17">
            <w:pPr>
              <w:jc w:val="right"/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-77.80</w:t>
            </w:r>
          </w:p>
        </w:tc>
      </w:tr>
      <w:tr w:rsidR="00160063" w:rsidRPr="004C05B8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Pr="004C05B8" w:rsidRDefault="004C05B8" w:rsidP="00F048F6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  <w:r w:rsidRPr="004C05B8">
              <w:rPr>
                <w:rFonts w:ascii="MS Reference Sans Serif" w:hAnsi="MS Reference Sans Serif"/>
                <w:b/>
                <w:sz w:val="20"/>
                <w:szCs w:val="20"/>
              </w:rPr>
              <w:t>Price Ratios</w:t>
            </w:r>
          </w:p>
        </w:tc>
        <w:tc>
          <w:tcPr>
            <w:tcW w:w="941" w:type="pct"/>
            <w:vAlign w:val="bottom"/>
          </w:tcPr>
          <w:p w:rsidR="00E572E6" w:rsidRPr="004C05B8" w:rsidRDefault="00E572E6" w:rsidP="00416C17">
            <w:pPr>
              <w:jc w:val="right"/>
              <w:cnfStyle w:val="000000100000"/>
              <w:rPr>
                <w:rStyle w:val="SubtleEmphasis"/>
                <w:rFonts w:ascii="MS Reference Sans Serif" w:hAnsi="MS Reference Sans Serif"/>
                <w:i w:val="0"/>
                <w:sz w:val="20"/>
                <w:szCs w:val="20"/>
              </w:rPr>
            </w:pPr>
          </w:p>
        </w:tc>
        <w:tc>
          <w:tcPr>
            <w:tcW w:w="941" w:type="pct"/>
            <w:vAlign w:val="bottom"/>
          </w:tcPr>
          <w:p w:rsidR="00E572E6" w:rsidRPr="004C05B8" w:rsidRDefault="00E572E6" w:rsidP="00416C17">
            <w:pPr>
              <w:jc w:val="right"/>
              <w:cnfStyle w:val="000000100000"/>
              <w:rPr>
                <w:rFonts w:ascii="MS Reference Sans Serif" w:hAnsi="MS Reference Sans Serif"/>
                <w:sz w:val="20"/>
                <w:szCs w:val="20"/>
              </w:rPr>
            </w:pPr>
          </w:p>
        </w:tc>
        <w:tc>
          <w:tcPr>
            <w:tcW w:w="942" w:type="pct"/>
            <w:vAlign w:val="bottom"/>
          </w:tcPr>
          <w:p w:rsidR="00E572E6" w:rsidRPr="004C05B8" w:rsidRDefault="00E572E6" w:rsidP="00416C17">
            <w:pPr>
              <w:jc w:val="right"/>
              <w:cnfStyle w:val="000000100000"/>
              <w:rPr>
                <w:rFonts w:ascii="MS Reference Sans Serif" w:hAnsi="MS Reference Sans Serif"/>
                <w:sz w:val="20"/>
                <w:szCs w:val="20"/>
              </w:rPr>
            </w:pPr>
          </w:p>
        </w:tc>
        <w:tc>
          <w:tcPr>
            <w:tcW w:w="942" w:type="pct"/>
            <w:vAlign w:val="bottom"/>
          </w:tcPr>
          <w:p w:rsidR="00E572E6" w:rsidRPr="004C05B8" w:rsidRDefault="00E572E6" w:rsidP="00416C17">
            <w:pPr>
              <w:jc w:val="right"/>
              <w:cnfStyle w:val="000000100000"/>
              <w:rPr>
                <w:rFonts w:ascii="MS Reference Sans Serif" w:hAnsi="MS Reference Sans Serif"/>
                <w:sz w:val="20"/>
                <w:szCs w:val="20"/>
              </w:rPr>
            </w:pPr>
          </w:p>
        </w:tc>
      </w:tr>
      <w:tr w:rsidR="00160063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4C05B8" w:rsidP="00F048F6">
            <w:r>
              <w:t>Price/Sales Ratio</w:t>
            </w:r>
          </w:p>
        </w:tc>
        <w:tc>
          <w:tcPr>
            <w:tcW w:w="941" w:type="pct"/>
            <w:vAlign w:val="bottom"/>
          </w:tcPr>
          <w:p w:rsidR="00E572E6" w:rsidRDefault="00160063" w:rsidP="00416C17">
            <w:pPr>
              <w:pStyle w:val="DecimalAligned"/>
              <w:jc w:val="right"/>
              <w:cnfStyle w:val="000000000000"/>
            </w:pPr>
            <w:r>
              <w:t>1.71</w:t>
            </w:r>
          </w:p>
        </w:tc>
        <w:tc>
          <w:tcPr>
            <w:tcW w:w="941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2.47</w:t>
            </w:r>
          </w:p>
        </w:tc>
        <w:tc>
          <w:tcPr>
            <w:tcW w:w="942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1.80</w:t>
            </w:r>
          </w:p>
        </w:tc>
        <w:tc>
          <w:tcPr>
            <w:tcW w:w="942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1.37</w:t>
            </w:r>
          </w:p>
        </w:tc>
      </w:tr>
      <w:tr w:rsidR="00160063" w:rsidRPr="00FB6DC9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4C05B8" w:rsidP="00F048F6">
            <w:r>
              <w:t>Price/Book Value</w:t>
            </w:r>
          </w:p>
        </w:tc>
        <w:tc>
          <w:tcPr>
            <w:tcW w:w="941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100000"/>
            </w:pPr>
            <w:r w:rsidRPr="00FB6DC9">
              <w:rPr>
                <w:highlight w:val="red"/>
              </w:rPr>
              <w:t>6.37</w:t>
            </w:r>
          </w:p>
        </w:tc>
        <w:tc>
          <w:tcPr>
            <w:tcW w:w="941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100000"/>
            </w:pPr>
            <w:r>
              <w:t>4.35</w:t>
            </w:r>
          </w:p>
        </w:tc>
        <w:tc>
          <w:tcPr>
            <w:tcW w:w="942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100000"/>
            </w:pPr>
            <w:r>
              <w:t>3.37</w:t>
            </w:r>
          </w:p>
        </w:tc>
        <w:tc>
          <w:tcPr>
            <w:tcW w:w="942" w:type="pct"/>
            <w:vAlign w:val="bottom"/>
          </w:tcPr>
          <w:p w:rsidR="00E572E6" w:rsidRPr="00FB6DC9" w:rsidRDefault="00416C17" w:rsidP="00416C17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2.67</w:t>
            </w:r>
          </w:p>
        </w:tc>
      </w:tr>
      <w:tr w:rsidR="00160063" w:rsidRPr="00FB6DC9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E572E6" w:rsidP="00F048F6">
            <w:r>
              <w:t xml:space="preserve"> </w:t>
            </w:r>
            <w:r w:rsidR="004C05B8">
              <w:t xml:space="preserve">Price/Cash Flow </w:t>
            </w:r>
          </w:p>
        </w:tc>
        <w:tc>
          <w:tcPr>
            <w:tcW w:w="941" w:type="pct"/>
            <w:vAlign w:val="bottom"/>
          </w:tcPr>
          <w:p w:rsidR="00E572E6" w:rsidRDefault="00A6778B" w:rsidP="00416C17">
            <w:pPr>
              <w:pStyle w:val="DecimalAligned"/>
              <w:jc w:val="right"/>
              <w:cnfStyle w:val="000000000000"/>
            </w:pPr>
            <w:r w:rsidRPr="00A6778B">
              <w:rPr>
                <w:highlight w:val="green"/>
              </w:rPr>
              <w:t>*</w:t>
            </w:r>
            <w:r w:rsidR="00416C17" w:rsidRPr="00FB6DC9">
              <w:rPr>
                <w:highlight w:val="red"/>
              </w:rPr>
              <w:t>76.20</w:t>
            </w:r>
          </w:p>
        </w:tc>
        <w:tc>
          <w:tcPr>
            <w:tcW w:w="941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10.50</w:t>
            </w:r>
          </w:p>
        </w:tc>
        <w:tc>
          <w:tcPr>
            <w:tcW w:w="942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11.00</w:t>
            </w:r>
          </w:p>
        </w:tc>
        <w:tc>
          <w:tcPr>
            <w:tcW w:w="942" w:type="pct"/>
            <w:vAlign w:val="bottom"/>
          </w:tcPr>
          <w:p w:rsidR="00E572E6" w:rsidRPr="00FB6DC9" w:rsidRDefault="00416C17" w:rsidP="00416C17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7.20</w:t>
            </w:r>
          </w:p>
        </w:tc>
      </w:tr>
      <w:tr w:rsidR="00160063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Pr="004C05B8" w:rsidRDefault="00F811F4" w:rsidP="00F048F6">
            <w:pPr>
              <w:rPr>
                <w:rFonts w:ascii="MS Reference Sans Serif" w:hAnsi="MS Reference Sans Serif"/>
                <w:b/>
                <w:sz w:val="20"/>
                <w:szCs w:val="20"/>
              </w:rPr>
            </w:pPr>
            <w:r>
              <w:rPr>
                <w:rFonts w:ascii="MS Reference Sans Serif" w:hAnsi="MS Reference Sans Serif"/>
                <w:b/>
                <w:sz w:val="20"/>
                <w:szCs w:val="20"/>
              </w:rPr>
              <w:t>Profit Margins</w:t>
            </w:r>
            <w:r w:rsidR="004C05B8">
              <w:rPr>
                <w:rFonts w:ascii="MS Reference Sans Serif" w:hAnsi="MS Reference Sans Serif"/>
                <w:b/>
                <w:sz w:val="20"/>
                <w:szCs w:val="20"/>
              </w:rPr>
              <w:t>%</w:t>
            </w:r>
          </w:p>
        </w:tc>
        <w:tc>
          <w:tcPr>
            <w:tcW w:w="941" w:type="pct"/>
            <w:vAlign w:val="bottom"/>
          </w:tcPr>
          <w:p w:rsidR="00E572E6" w:rsidRDefault="00E572E6" w:rsidP="00416C17">
            <w:pPr>
              <w:pStyle w:val="DecimalAligned"/>
              <w:jc w:val="right"/>
              <w:cnfStyle w:val="000000100000"/>
            </w:pPr>
          </w:p>
        </w:tc>
        <w:tc>
          <w:tcPr>
            <w:tcW w:w="941" w:type="pct"/>
            <w:vAlign w:val="bottom"/>
          </w:tcPr>
          <w:p w:rsidR="00E572E6" w:rsidRDefault="00E572E6" w:rsidP="00416C17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E572E6" w:rsidRDefault="00E572E6" w:rsidP="00416C17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E572E6" w:rsidRDefault="00E572E6" w:rsidP="00416C17">
            <w:pPr>
              <w:pStyle w:val="DecimalAligned"/>
              <w:jc w:val="right"/>
              <w:cnfStyle w:val="000000100000"/>
            </w:pPr>
          </w:p>
        </w:tc>
      </w:tr>
      <w:tr w:rsidR="00160063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F811F4" w:rsidP="00F048F6">
            <w:r>
              <w:t>Gross Margin</w:t>
            </w:r>
          </w:p>
        </w:tc>
        <w:tc>
          <w:tcPr>
            <w:tcW w:w="941" w:type="pct"/>
            <w:vAlign w:val="bottom"/>
          </w:tcPr>
          <w:p w:rsidR="00E572E6" w:rsidRDefault="00A6778B" w:rsidP="00416C17">
            <w:pPr>
              <w:pStyle w:val="DecimalAligned"/>
              <w:jc w:val="right"/>
              <w:cnfStyle w:val="000000000000"/>
            </w:pPr>
            <w:r w:rsidRPr="00A6778B">
              <w:rPr>
                <w:highlight w:val="green"/>
              </w:rPr>
              <w:t>*</w:t>
            </w:r>
            <w:r w:rsidR="00416C17" w:rsidRPr="006D0ACA">
              <w:rPr>
                <w:highlight w:val="red"/>
              </w:rPr>
              <w:t>29.8</w:t>
            </w:r>
          </w:p>
        </w:tc>
        <w:tc>
          <w:tcPr>
            <w:tcW w:w="941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36.7</w:t>
            </w:r>
          </w:p>
        </w:tc>
        <w:tc>
          <w:tcPr>
            <w:tcW w:w="942" w:type="pct"/>
            <w:vAlign w:val="bottom"/>
          </w:tcPr>
          <w:p w:rsidR="00E572E6" w:rsidRDefault="00416C17" w:rsidP="00416C17">
            <w:pPr>
              <w:pStyle w:val="DecimalAligned"/>
              <w:jc w:val="right"/>
              <w:cnfStyle w:val="000000000000"/>
            </w:pPr>
            <w:r>
              <w:t>32.4</w:t>
            </w:r>
          </w:p>
        </w:tc>
        <w:tc>
          <w:tcPr>
            <w:tcW w:w="942" w:type="pct"/>
            <w:vAlign w:val="bottom"/>
          </w:tcPr>
          <w:p w:rsidR="00E572E6" w:rsidRPr="00FB6DC9" w:rsidRDefault="00416C17" w:rsidP="00416C17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38.6</w:t>
            </w:r>
          </w:p>
        </w:tc>
      </w:tr>
      <w:tr w:rsidR="00160063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E572E6" w:rsidRDefault="00F811F4" w:rsidP="00F048F6">
            <w:r>
              <w:t>Gross Margin</w:t>
            </w:r>
          </w:p>
          <w:p w:rsidR="00F811F4" w:rsidRDefault="00F811F4" w:rsidP="00F048F6">
            <w:r>
              <w:t xml:space="preserve">(5-yr. </w:t>
            </w:r>
            <w:proofErr w:type="spellStart"/>
            <w:r>
              <w:t>ave</w:t>
            </w:r>
            <w:proofErr w:type="spellEnd"/>
            <w:r>
              <w:t>.)</w:t>
            </w:r>
          </w:p>
        </w:tc>
        <w:tc>
          <w:tcPr>
            <w:tcW w:w="941" w:type="pct"/>
            <w:vAlign w:val="bottom"/>
          </w:tcPr>
          <w:p w:rsidR="00E572E6" w:rsidRDefault="00A6778B" w:rsidP="00416C17">
            <w:pPr>
              <w:pStyle w:val="DecimalAligned"/>
              <w:jc w:val="right"/>
              <w:cnfStyle w:val="000000100000"/>
            </w:pPr>
            <w:r w:rsidRPr="00A6778B">
              <w:rPr>
                <w:highlight w:val="green"/>
              </w:rPr>
              <w:t>*</w:t>
            </w:r>
            <w:r w:rsidR="008D0C4E" w:rsidRPr="006D0ACA">
              <w:rPr>
                <w:highlight w:val="red"/>
              </w:rPr>
              <w:t>33.1</w:t>
            </w:r>
          </w:p>
        </w:tc>
        <w:tc>
          <w:tcPr>
            <w:tcW w:w="941" w:type="pct"/>
            <w:vAlign w:val="bottom"/>
          </w:tcPr>
          <w:p w:rsidR="00E572E6" w:rsidRDefault="008D0C4E" w:rsidP="00416C17">
            <w:pPr>
              <w:pStyle w:val="DecimalAligned"/>
              <w:jc w:val="right"/>
              <w:cnfStyle w:val="000000100000"/>
            </w:pPr>
            <w:r>
              <w:t>33.9</w:t>
            </w:r>
          </w:p>
        </w:tc>
        <w:tc>
          <w:tcPr>
            <w:tcW w:w="942" w:type="pct"/>
            <w:vAlign w:val="bottom"/>
          </w:tcPr>
          <w:p w:rsidR="00E572E6" w:rsidRDefault="008D0C4E" w:rsidP="00416C17">
            <w:pPr>
              <w:pStyle w:val="DecimalAligned"/>
              <w:jc w:val="right"/>
              <w:cnfStyle w:val="000000100000"/>
            </w:pPr>
            <w:r>
              <w:t>33.6</w:t>
            </w:r>
          </w:p>
        </w:tc>
        <w:tc>
          <w:tcPr>
            <w:tcW w:w="942" w:type="pct"/>
            <w:vAlign w:val="bottom"/>
          </w:tcPr>
          <w:p w:rsidR="00E572E6" w:rsidRPr="00FB6DC9" w:rsidRDefault="008D0C4E" w:rsidP="00416C17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40.6</w:t>
            </w:r>
          </w:p>
        </w:tc>
      </w:tr>
      <w:tr w:rsidR="00F811F4" w:rsidTr="00FB6DC9">
        <w:trPr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F811F4" w:rsidRDefault="00F811F4" w:rsidP="00F048F6">
            <w:r>
              <w:t>Net Profit Margin</w:t>
            </w:r>
          </w:p>
        </w:tc>
        <w:tc>
          <w:tcPr>
            <w:tcW w:w="941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-4.4</w:t>
            </w:r>
          </w:p>
        </w:tc>
        <w:tc>
          <w:tcPr>
            <w:tcW w:w="941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000000"/>
            </w:pPr>
            <w:r w:rsidRPr="00FB6DC9">
              <w:rPr>
                <w:highlight w:val="yellow"/>
              </w:rPr>
              <w:t>18.3</w:t>
            </w:r>
          </w:p>
        </w:tc>
        <w:tc>
          <w:tcPr>
            <w:tcW w:w="942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000000"/>
            </w:pPr>
            <w:r>
              <w:t>13.0</w:t>
            </w:r>
          </w:p>
        </w:tc>
        <w:tc>
          <w:tcPr>
            <w:tcW w:w="942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000000"/>
            </w:pPr>
            <w:r>
              <w:t>10.0</w:t>
            </w:r>
          </w:p>
        </w:tc>
      </w:tr>
      <w:tr w:rsidR="00F811F4" w:rsidTr="00FB6DC9">
        <w:trPr>
          <w:cnfStyle w:val="000000100000"/>
          <w:cantSplit/>
          <w:trHeight w:val="516"/>
        </w:trPr>
        <w:tc>
          <w:tcPr>
            <w:cnfStyle w:val="001000000000"/>
            <w:tcW w:w="1233" w:type="pct"/>
            <w:noWrap/>
            <w:vAlign w:val="bottom"/>
          </w:tcPr>
          <w:p w:rsidR="00F811F4" w:rsidRDefault="00F811F4" w:rsidP="00F048F6">
            <w:r>
              <w:t>Net Profit Margin</w:t>
            </w:r>
          </w:p>
          <w:p w:rsidR="00F811F4" w:rsidRDefault="00F811F4" w:rsidP="00F048F6">
            <w:r>
              <w:t xml:space="preserve">(5-yr. </w:t>
            </w:r>
            <w:proofErr w:type="spellStart"/>
            <w:r>
              <w:t>ave</w:t>
            </w:r>
            <w:proofErr w:type="spellEnd"/>
            <w:r>
              <w:t>.)</w:t>
            </w:r>
          </w:p>
        </w:tc>
        <w:tc>
          <w:tcPr>
            <w:tcW w:w="941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100000"/>
            </w:pPr>
            <w:r w:rsidRPr="006D0ACA">
              <w:rPr>
                <w:highlight w:val="red"/>
              </w:rPr>
              <w:t>-1.0</w:t>
            </w:r>
          </w:p>
        </w:tc>
        <w:tc>
          <w:tcPr>
            <w:tcW w:w="941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100000"/>
            </w:pPr>
            <w:r w:rsidRPr="00FB6DC9">
              <w:rPr>
                <w:highlight w:val="yellow"/>
              </w:rPr>
              <w:t>13.7</w:t>
            </w:r>
          </w:p>
        </w:tc>
        <w:tc>
          <w:tcPr>
            <w:tcW w:w="942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100000"/>
            </w:pPr>
            <w:r>
              <w:t>10.2</w:t>
            </w:r>
          </w:p>
        </w:tc>
        <w:tc>
          <w:tcPr>
            <w:tcW w:w="942" w:type="pct"/>
            <w:vAlign w:val="bottom"/>
          </w:tcPr>
          <w:p w:rsidR="00F811F4" w:rsidRDefault="008D0C4E" w:rsidP="00416C17">
            <w:pPr>
              <w:pStyle w:val="DecimalAligned"/>
              <w:jc w:val="right"/>
              <w:cnfStyle w:val="000000100000"/>
            </w:pPr>
            <w:r>
              <w:t>11.6</w:t>
            </w:r>
          </w:p>
        </w:tc>
      </w:tr>
    </w:tbl>
    <w:p w:rsidR="00082A2B" w:rsidRDefault="00082A2B">
      <w:r>
        <w:br w:type="page"/>
      </w:r>
    </w:p>
    <w:p w:rsidR="00082A2B" w:rsidRDefault="00082A2B"/>
    <w:p w:rsidR="00082A2B" w:rsidRDefault="00082A2B"/>
    <w:p w:rsidR="00082A2B" w:rsidRDefault="00082A2B"/>
    <w:p w:rsidR="00082A2B" w:rsidRDefault="00082A2B"/>
    <w:tbl>
      <w:tblPr>
        <w:tblStyle w:val="MediumList2-Accent5"/>
        <w:tblW w:w="5000" w:type="pct"/>
        <w:tblLook w:val="04A0"/>
      </w:tblPr>
      <w:tblGrid>
        <w:gridCol w:w="2364"/>
        <w:gridCol w:w="1802"/>
        <w:gridCol w:w="1802"/>
        <w:gridCol w:w="1804"/>
        <w:gridCol w:w="1804"/>
      </w:tblGrid>
      <w:tr w:rsidR="00082A2B" w:rsidTr="006D0ACA">
        <w:trPr>
          <w:cnfStyle w:val="100000000000"/>
          <w:trHeight w:val="516"/>
        </w:trPr>
        <w:tc>
          <w:tcPr>
            <w:cnfStyle w:val="001000000100"/>
            <w:tcW w:w="1234" w:type="pct"/>
            <w:noWrap/>
            <w:vAlign w:val="bottom"/>
          </w:tcPr>
          <w:p w:rsidR="00082A2B" w:rsidRPr="005048C1" w:rsidRDefault="00082A2B" w:rsidP="00F048F6">
            <w:pPr>
              <w:rPr>
                <w:sz w:val="20"/>
                <w:szCs w:val="20"/>
              </w:rPr>
            </w:pPr>
            <w:r>
              <w:t>2 March 2009</w:t>
            </w:r>
          </w:p>
        </w:tc>
        <w:tc>
          <w:tcPr>
            <w:tcW w:w="941" w:type="pct"/>
            <w:vAlign w:val="bottom"/>
          </w:tcPr>
          <w:p w:rsidR="00082A2B" w:rsidRDefault="00082A2B" w:rsidP="00F048F6">
            <w:pPr>
              <w:jc w:val="right"/>
              <w:cnfStyle w:val="100000000000"/>
            </w:pPr>
            <w:proofErr w:type="spellStart"/>
            <w:r>
              <w:t>Wendys</w:t>
            </w:r>
            <w:proofErr w:type="spellEnd"/>
            <w:r>
              <w:t>/</w:t>
            </w:r>
            <w:proofErr w:type="spellStart"/>
            <w:r>
              <w:t>Arbys</w:t>
            </w:r>
            <w:proofErr w:type="spellEnd"/>
          </w:p>
        </w:tc>
        <w:tc>
          <w:tcPr>
            <w:tcW w:w="941" w:type="pct"/>
            <w:vAlign w:val="bottom"/>
          </w:tcPr>
          <w:p w:rsidR="00082A2B" w:rsidRDefault="00082A2B" w:rsidP="00F048F6">
            <w:pPr>
              <w:jc w:val="right"/>
              <w:cnfStyle w:val="100000000000"/>
            </w:pPr>
            <w:r>
              <w:t>McDonalds</w:t>
            </w:r>
          </w:p>
        </w:tc>
        <w:tc>
          <w:tcPr>
            <w:tcW w:w="942" w:type="pct"/>
            <w:vAlign w:val="bottom"/>
          </w:tcPr>
          <w:p w:rsidR="00082A2B" w:rsidRDefault="00082A2B" w:rsidP="00F048F6">
            <w:pPr>
              <w:jc w:val="right"/>
              <w:cnfStyle w:val="100000000000"/>
            </w:pPr>
            <w:r>
              <w:t>Industry</w:t>
            </w:r>
          </w:p>
        </w:tc>
        <w:tc>
          <w:tcPr>
            <w:tcW w:w="942" w:type="pct"/>
            <w:vAlign w:val="bottom"/>
          </w:tcPr>
          <w:p w:rsidR="00082A2B" w:rsidRDefault="00082A2B" w:rsidP="00F048F6">
            <w:pPr>
              <w:jc w:val="right"/>
              <w:cnfStyle w:val="100000000000"/>
            </w:pPr>
            <w:r>
              <w:t>S&amp;P 500</w:t>
            </w:r>
          </w:p>
        </w:tc>
      </w:tr>
      <w:tr w:rsidR="00F811F4" w:rsidRPr="00FB6DC9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F811F4" w:rsidRPr="00F811F4" w:rsidRDefault="00F811F4" w:rsidP="00F048F6">
            <w:pPr>
              <w:rPr>
                <w:rFonts w:ascii="MS Reference Sans Serif" w:hAnsi="MS Reference Sans Serif"/>
                <w:sz w:val="20"/>
                <w:szCs w:val="20"/>
              </w:rPr>
            </w:pPr>
            <w:r>
              <w:rPr>
                <w:rFonts w:ascii="MS Reference Sans Serif" w:hAnsi="MS Reference Sans Serif"/>
                <w:b/>
                <w:sz w:val="20"/>
                <w:szCs w:val="20"/>
              </w:rPr>
              <w:t>Financial Condition</w:t>
            </w:r>
          </w:p>
        </w:tc>
        <w:tc>
          <w:tcPr>
            <w:tcW w:w="941" w:type="pct"/>
            <w:vAlign w:val="bottom"/>
          </w:tcPr>
          <w:p w:rsidR="00F811F4" w:rsidRDefault="00F811F4" w:rsidP="00F048F6">
            <w:pPr>
              <w:pStyle w:val="DecimalAligned"/>
              <w:jc w:val="right"/>
              <w:cnfStyle w:val="000000100000"/>
            </w:pPr>
          </w:p>
        </w:tc>
        <w:tc>
          <w:tcPr>
            <w:tcW w:w="941" w:type="pct"/>
            <w:vAlign w:val="bottom"/>
          </w:tcPr>
          <w:p w:rsidR="00F811F4" w:rsidRDefault="00F811F4" w:rsidP="00F048F6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F811F4" w:rsidRDefault="00F811F4" w:rsidP="00F048F6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  <w:vAlign w:val="bottom"/>
          </w:tcPr>
          <w:p w:rsidR="00F811F4" w:rsidRPr="00FB6DC9" w:rsidRDefault="00F811F4" w:rsidP="00F048F6">
            <w:pPr>
              <w:pStyle w:val="DecimalAligned"/>
              <w:jc w:val="right"/>
              <w:cnfStyle w:val="000000100000"/>
              <w:rPr>
                <w:highlight w:val="yellow"/>
              </w:rPr>
            </w:pPr>
          </w:p>
        </w:tc>
      </w:tr>
      <w:tr w:rsidR="00F811F4" w:rsidRPr="00FB6DC9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F811F4" w:rsidRPr="00B258F8" w:rsidRDefault="00B258F8" w:rsidP="00F048F6">
            <w:r>
              <w:t>Debt/Equity Ratio</w:t>
            </w:r>
          </w:p>
        </w:tc>
        <w:tc>
          <w:tcPr>
            <w:tcW w:w="941" w:type="pct"/>
          </w:tcPr>
          <w:p w:rsidR="00F811F4" w:rsidRDefault="00A6778B" w:rsidP="008D0C4E">
            <w:pPr>
              <w:pStyle w:val="DecimalAligned"/>
              <w:jc w:val="right"/>
              <w:cnfStyle w:val="000000000000"/>
            </w:pPr>
            <w:r w:rsidRPr="00A6778B">
              <w:rPr>
                <w:highlight w:val="green"/>
              </w:rPr>
              <w:t>*</w:t>
            </w:r>
            <w:r w:rsidR="008D0C4E" w:rsidRPr="006D0ACA">
              <w:rPr>
                <w:highlight w:val="red"/>
              </w:rPr>
              <w:t>2.16</w:t>
            </w:r>
          </w:p>
        </w:tc>
        <w:tc>
          <w:tcPr>
            <w:tcW w:w="941" w:type="pct"/>
          </w:tcPr>
          <w:p w:rsidR="00F811F4" w:rsidRDefault="008D0C4E" w:rsidP="008D0C4E">
            <w:pPr>
              <w:pStyle w:val="DecimalAligned"/>
              <w:jc w:val="right"/>
              <w:cnfStyle w:val="000000000000"/>
            </w:pPr>
            <w:r>
              <w:t>1.76</w:t>
            </w:r>
          </w:p>
        </w:tc>
        <w:tc>
          <w:tcPr>
            <w:tcW w:w="942" w:type="pct"/>
          </w:tcPr>
          <w:p w:rsidR="00F811F4" w:rsidRDefault="008D0C4E" w:rsidP="008D0C4E">
            <w:pPr>
              <w:pStyle w:val="DecimalAligned"/>
              <w:jc w:val="right"/>
              <w:cnfStyle w:val="000000000000"/>
            </w:pPr>
            <w:r>
              <w:t>1.85</w:t>
            </w:r>
          </w:p>
        </w:tc>
        <w:tc>
          <w:tcPr>
            <w:tcW w:w="942" w:type="pct"/>
          </w:tcPr>
          <w:p w:rsidR="00F811F4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0.98</w:t>
            </w:r>
          </w:p>
        </w:tc>
      </w:tr>
      <w:tr w:rsid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Current Ratio</w:t>
            </w:r>
          </w:p>
        </w:tc>
        <w:tc>
          <w:tcPr>
            <w:tcW w:w="941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 w:rsidRPr="006D0ACA">
              <w:rPr>
                <w:highlight w:val="red"/>
              </w:rPr>
              <w:t>0.5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1.4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>
              <w:t>1.2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>
              <w:t>1.0</w:t>
            </w:r>
          </w:p>
        </w:tc>
      </w:tr>
      <w:tr w:rsidR="00B258F8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Quick Ratio</w:t>
            </w:r>
          </w:p>
        </w:tc>
        <w:tc>
          <w:tcPr>
            <w:tcW w:w="941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0.4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1.3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>
              <w:t>1.1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>
              <w:t>1.0</w:t>
            </w:r>
          </w:p>
        </w:tc>
      </w:tr>
      <w:tr w:rsid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Leverage Ratio</w:t>
            </w:r>
          </w:p>
        </w:tc>
        <w:tc>
          <w:tcPr>
            <w:tcW w:w="941" w:type="pct"/>
          </w:tcPr>
          <w:p w:rsidR="00B258F8" w:rsidRDefault="00A6778B" w:rsidP="008D0C4E">
            <w:pPr>
              <w:pStyle w:val="DecimalAligned"/>
              <w:jc w:val="right"/>
              <w:cnfStyle w:val="000000100000"/>
            </w:pPr>
            <w:r>
              <w:rPr>
                <w:highlight w:val="green"/>
              </w:rPr>
              <w:t>*</w:t>
            </w:r>
            <w:r w:rsidR="008D0C4E" w:rsidRPr="00A6778B">
              <w:rPr>
                <w:highlight w:val="green"/>
              </w:rPr>
              <w:t>4.0</w:t>
            </w:r>
          </w:p>
        </w:tc>
        <w:tc>
          <w:tcPr>
            <w:tcW w:w="941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>
              <w:t>2.1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 w:rsidRPr="006D0ACA">
              <w:rPr>
                <w:highlight w:val="red"/>
              </w:rPr>
              <w:t>-5.2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100000"/>
            </w:pPr>
            <w:r>
              <w:t>1.8</w:t>
            </w:r>
          </w:p>
        </w:tc>
      </w:tr>
      <w:tr w:rsidR="00B258F8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Book Value/Share</w:t>
            </w:r>
          </w:p>
        </w:tc>
        <w:tc>
          <w:tcPr>
            <w:tcW w:w="941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0.71</w:t>
            </w:r>
          </w:p>
        </w:tc>
        <w:tc>
          <w:tcPr>
            <w:tcW w:w="941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>
              <w:t>12.00</w:t>
            </w:r>
          </w:p>
        </w:tc>
        <w:tc>
          <w:tcPr>
            <w:tcW w:w="942" w:type="pct"/>
          </w:tcPr>
          <w:p w:rsidR="00B258F8" w:rsidRDefault="008D0C4E" w:rsidP="008D0C4E">
            <w:pPr>
              <w:pStyle w:val="DecimalAligned"/>
              <w:jc w:val="right"/>
              <w:cnfStyle w:val="000000000000"/>
            </w:pPr>
            <w:r>
              <w:t>9.74</w:t>
            </w:r>
          </w:p>
        </w:tc>
        <w:tc>
          <w:tcPr>
            <w:tcW w:w="942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17.66</w:t>
            </w:r>
          </w:p>
        </w:tc>
      </w:tr>
      <w:tr w:rsid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Pr="00A6778B" w:rsidRDefault="00B258F8" w:rsidP="00F048F6">
            <w:pPr>
              <w:rPr>
                <w:rFonts w:ascii="MS Reference Sans Serif" w:hAnsi="MS Reference Sans Serif"/>
                <w:b/>
                <w:sz w:val="20"/>
                <w:szCs w:val="20"/>
                <w:highlight w:val="green"/>
              </w:rPr>
            </w:pPr>
            <w:r w:rsidRPr="00A6778B">
              <w:rPr>
                <w:rFonts w:ascii="MS Reference Sans Serif" w:hAnsi="MS Reference Sans Serif"/>
                <w:b/>
                <w:sz w:val="20"/>
                <w:szCs w:val="20"/>
                <w:highlight w:val="green"/>
              </w:rPr>
              <w:t>Investment Return</w:t>
            </w:r>
          </w:p>
        </w:tc>
        <w:tc>
          <w:tcPr>
            <w:tcW w:w="941" w:type="pct"/>
          </w:tcPr>
          <w:p w:rsidR="00B258F8" w:rsidRDefault="00B258F8" w:rsidP="008D0C4E">
            <w:pPr>
              <w:pStyle w:val="DecimalAligned"/>
              <w:jc w:val="right"/>
              <w:cnfStyle w:val="000000100000"/>
            </w:pPr>
          </w:p>
        </w:tc>
        <w:tc>
          <w:tcPr>
            <w:tcW w:w="941" w:type="pct"/>
          </w:tcPr>
          <w:p w:rsidR="00B258F8" w:rsidRDefault="00B258F8" w:rsidP="008D0C4E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</w:tcPr>
          <w:p w:rsidR="00B258F8" w:rsidRDefault="00B258F8" w:rsidP="008D0C4E">
            <w:pPr>
              <w:pStyle w:val="DecimalAligned"/>
              <w:jc w:val="right"/>
              <w:cnfStyle w:val="000000100000"/>
            </w:pPr>
          </w:p>
        </w:tc>
        <w:tc>
          <w:tcPr>
            <w:tcW w:w="942" w:type="pct"/>
          </w:tcPr>
          <w:p w:rsidR="00B258F8" w:rsidRDefault="00B258F8" w:rsidP="008D0C4E">
            <w:pPr>
              <w:pStyle w:val="DecimalAligned"/>
              <w:jc w:val="right"/>
              <w:cnfStyle w:val="000000100000"/>
            </w:pPr>
          </w:p>
        </w:tc>
      </w:tr>
      <w:tr w:rsidR="00B258F8" w:rsidRPr="00B258F8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Pr="00B258F8" w:rsidRDefault="00B258F8" w:rsidP="00F048F6">
            <w:r>
              <w:t>Return on Equity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-14.6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30.1</w:t>
            </w:r>
          </w:p>
        </w:tc>
        <w:tc>
          <w:tcPr>
            <w:tcW w:w="942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44.5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24.4</w:t>
            </w:r>
          </w:p>
        </w:tc>
      </w:tr>
      <w:tr w:rsidR="00B258F8" w:rsidRP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Return on Equity</w:t>
            </w:r>
          </w:p>
          <w:p w:rsidR="00B258F8" w:rsidRDefault="00B258F8" w:rsidP="00F048F6">
            <w:r>
              <w:t xml:space="preserve">(5 yr. </w:t>
            </w:r>
            <w:proofErr w:type="spellStart"/>
            <w:r>
              <w:t>ave</w:t>
            </w:r>
            <w:proofErr w:type="spellEnd"/>
            <w:r>
              <w:t>.)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 w:rsidRPr="006D0ACA">
              <w:rPr>
                <w:highlight w:val="red"/>
              </w:rPr>
              <w:t>-3.5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19.7</w:t>
            </w:r>
          </w:p>
        </w:tc>
        <w:tc>
          <w:tcPr>
            <w:tcW w:w="942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23.1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18.2</w:t>
            </w:r>
          </w:p>
        </w:tc>
      </w:tr>
      <w:tr w:rsidR="00B258F8" w:rsidRPr="00B258F8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Return on Assets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-3.9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14.9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11.9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7.0</w:t>
            </w:r>
          </w:p>
        </w:tc>
      </w:tr>
      <w:tr w:rsidR="00B258F8" w:rsidRP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Return on Assets</w:t>
            </w:r>
          </w:p>
          <w:p w:rsidR="00B258F8" w:rsidRDefault="00B258F8" w:rsidP="00F048F6">
            <w:r>
              <w:t xml:space="preserve">(5 yr. </w:t>
            </w:r>
            <w:proofErr w:type="spellStart"/>
            <w:r>
              <w:t>ave</w:t>
            </w:r>
            <w:proofErr w:type="spellEnd"/>
            <w:r>
              <w:t>.)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 w:rsidRPr="006D0ACA">
              <w:rPr>
                <w:highlight w:val="red"/>
              </w:rPr>
              <w:t>-0.5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10.0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9.0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7.3</w:t>
            </w:r>
          </w:p>
        </w:tc>
      </w:tr>
      <w:tr w:rsidR="00B258F8" w:rsidRPr="00B258F8" w:rsidTr="006D0ACA">
        <w:trPr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Return on Capital</w:t>
            </w:r>
          </w:p>
        </w:tc>
        <w:tc>
          <w:tcPr>
            <w:tcW w:w="941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 w:rsidRPr="006D0ACA">
              <w:rPr>
                <w:highlight w:val="red"/>
              </w:rPr>
              <w:t>-4.7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000000"/>
              <w:rPr>
                <w:highlight w:val="yellow"/>
              </w:rPr>
            </w:pPr>
            <w:r w:rsidRPr="00FB6DC9">
              <w:rPr>
                <w:highlight w:val="yellow"/>
              </w:rPr>
              <w:t>17.0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14.4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000000"/>
            </w:pPr>
            <w:r>
              <w:t>9.6</w:t>
            </w:r>
          </w:p>
        </w:tc>
      </w:tr>
      <w:tr w:rsidR="00B258F8" w:rsidRPr="00B258F8" w:rsidTr="006D0ACA">
        <w:trPr>
          <w:cnfStyle w:val="000000100000"/>
          <w:trHeight w:val="516"/>
        </w:trPr>
        <w:tc>
          <w:tcPr>
            <w:cnfStyle w:val="001000000000"/>
            <w:tcW w:w="1234" w:type="pct"/>
            <w:noWrap/>
            <w:vAlign w:val="bottom"/>
          </w:tcPr>
          <w:p w:rsidR="00B258F8" w:rsidRDefault="00B258F8" w:rsidP="00F048F6">
            <w:r>
              <w:t>Return on Capital</w:t>
            </w:r>
          </w:p>
          <w:p w:rsidR="00B258F8" w:rsidRDefault="00B258F8" w:rsidP="00F048F6">
            <w:r>
              <w:t xml:space="preserve">(5 yr. </w:t>
            </w:r>
            <w:proofErr w:type="spellStart"/>
            <w:r>
              <w:t>ave</w:t>
            </w:r>
            <w:proofErr w:type="spellEnd"/>
            <w:r>
              <w:t>.)</w:t>
            </w:r>
          </w:p>
        </w:tc>
        <w:tc>
          <w:tcPr>
            <w:tcW w:w="941" w:type="pct"/>
          </w:tcPr>
          <w:p w:rsidR="00B258F8" w:rsidRPr="008D0C4E" w:rsidRDefault="008D0C4E" w:rsidP="008D0C4E">
            <w:pPr>
              <w:pStyle w:val="DecimalAligned"/>
              <w:jc w:val="right"/>
              <w:cnfStyle w:val="000000100000"/>
              <w:rPr>
                <w:color w:val="auto"/>
              </w:rPr>
            </w:pPr>
            <w:r w:rsidRPr="006D0ACA">
              <w:rPr>
                <w:color w:val="auto"/>
                <w:highlight w:val="red"/>
              </w:rPr>
              <w:t>-0.7</w:t>
            </w:r>
          </w:p>
        </w:tc>
        <w:tc>
          <w:tcPr>
            <w:tcW w:w="941" w:type="pct"/>
          </w:tcPr>
          <w:p w:rsidR="00B258F8" w:rsidRPr="00FB6DC9" w:rsidRDefault="008D0C4E" w:rsidP="008D0C4E">
            <w:pPr>
              <w:pStyle w:val="DecimalAligned"/>
              <w:jc w:val="right"/>
              <w:cnfStyle w:val="000000100000"/>
              <w:rPr>
                <w:highlight w:val="yellow"/>
              </w:rPr>
            </w:pPr>
            <w:r w:rsidRPr="00FB6DC9">
              <w:rPr>
                <w:highlight w:val="yellow"/>
              </w:rPr>
              <w:t>11.4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11.2</w:t>
            </w:r>
          </w:p>
        </w:tc>
        <w:tc>
          <w:tcPr>
            <w:tcW w:w="942" w:type="pct"/>
          </w:tcPr>
          <w:p w:rsidR="00B258F8" w:rsidRPr="00B258F8" w:rsidRDefault="008D0C4E" w:rsidP="008D0C4E">
            <w:pPr>
              <w:pStyle w:val="DecimalAligned"/>
              <w:jc w:val="right"/>
              <w:cnfStyle w:val="000000100000"/>
            </w:pPr>
            <w:r>
              <w:t>9.9</w:t>
            </w:r>
          </w:p>
        </w:tc>
      </w:tr>
    </w:tbl>
    <w:p w:rsidR="0092045A" w:rsidRPr="005048C1" w:rsidRDefault="0092045A">
      <w:pPr>
        <w:pStyle w:val="FootnoteText"/>
      </w:pPr>
    </w:p>
    <w:p w:rsidR="00AD33F4" w:rsidRDefault="00AD33F4"/>
    <w:sectPr w:rsidR="00AD33F4" w:rsidSect="00AD3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defaultTabStop w:val="720"/>
  <w:characterSpacingControl w:val="doNotCompress"/>
  <w:compat/>
  <w:rsids>
    <w:rsidRoot w:val="0092045A"/>
    <w:rsid w:val="00082A2B"/>
    <w:rsid w:val="00160063"/>
    <w:rsid w:val="001D2B9C"/>
    <w:rsid w:val="001F4CDC"/>
    <w:rsid w:val="0023089D"/>
    <w:rsid w:val="00297D50"/>
    <w:rsid w:val="003E22C8"/>
    <w:rsid w:val="00416C17"/>
    <w:rsid w:val="004C05B8"/>
    <w:rsid w:val="005048C1"/>
    <w:rsid w:val="00555925"/>
    <w:rsid w:val="00586C68"/>
    <w:rsid w:val="006D0ACA"/>
    <w:rsid w:val="00822EEA"/>
    <w:rsid w:val="00894B8F"/>
    <w:rsid w:val="008D0C4E"/>
    <w:rsid w:val="0092045A"/>
    <w:rsid w:val="00A077E4"/>
    <w:rsid w:val="00A60B9C"/>
    <w:rsid w:val="00A65BD2"/>
    <w:rsid w:val="00A6778B"/>
    <w:rsid w:val="00AD33F4"/>
    <w:rsid w:val="00B258F8"/>
    <w:rsid w:val="00B37934"/>
    <w:rsid w:val="00BA43CC"/>
    <w:rsid w:val="00D01345"/>
    <w:rsid w:val="00D21C38"/>
    <w:rsid w:val="00E572E6"/>
    <w:rsid w:val="00F048F6"/>
    <w:rsid w:val="00F811F4"/>
    <w:rsid w:val="00FB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1">
    <w:name w:val="Light List1"/>
    <w:basedOn w:val="TableNormal"/>
    <w:uiPriority w:val="61"/>
    <w:rsid w:val="0092045A"/>
    <w:pPr>
      <w:spacing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04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45A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92045A"/>
    <w:pPr>
      <w:tabs>
        <w:tab w:val="decimal" w:pos="360"/>
      </w:tabs>
      <w:spacing w:after="200" w:line="276" w:lineRule="auto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92045A"/>
    <w:pPr>
      <w:spacing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045A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45A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92045A"/>
    <w:pPr>
      <w:spacing w:line="240" w:lineRule="auto"/>
    </w:pPr>
    <w:rPr>
      <w:rFonts w:eastAsiaTheme="minorEastAsia"/>
      <w:color w:val="365F91" w:themeColor="accent1" w:themeShade="BF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92045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572E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740E6-2821-48DC-BE1D-562E0C05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kbentele</cp:lastModifiedBy>
  <cp:revision>2</cp:revision>
  <dcterms:created xsi:type="dcterms:W3CDTF">2013-04-05T22:33:00Z</dcterms:created>
  <dcterms:modified xsi:type="dcterms:W3CDTF">2013-04-05T22:33:00Z</dcterms:modified>
</cp:coreProperties>
</file>