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6F4" w:rsidRPr="001046F4" w:rsidRDefault="001046F4" w:rsidP="001046F4">
      <w:pPr>
        <w:shd w:val="clear" w:color="auto" w:fill="FFFFFF"/>
        <w:spacing w:before="100" w:beforeAutospacing="1" w:after="100" w:afterAutospacing="1" w:line="240" w:lineRule="auto"/>
        <w:jc w:val="center"/>
        <w:outlineLvl w:val="1"/>
        <w:rPr>
          <w:rFonts w:ascii="Arial" w:eastAsia="Times New Roman" w:hAnsi="Arial" w:cs="Arial"/>
          <w:color w:val="FFFFFF"/>
          <w:kern w:val="36"/>
          <w:sz w:val="42"/>
          <w:szCs w:val="42"/>
        </w:rPr>
      </w:pPr>
      <w:r w:rsidRPr="001046F4">
        <w:rPr>
          <w:rFonts w:ascii="Arial" w:eastAsia="Times New Roman" w:hAnsi="Arial" w:cs="Arial"/>
          <w:color w:val="FFFFFF"/>
          <w:kern w:val="36"/>
          <w:sz w:val="42"/>
          <w:szCs w:val="42"/>
        </w:rPr>
        <w:t>Insurance Products Glossary</w:t>
      </w:r>
    </w:p>
    <w:p w:rsidR="00553BC8" w:rsidRDefault="001046F4">
      <w:pPr>
        <w:rPr>
          <w:sz w:val="56"/>
          <w:szCs w:val="56"/>
        </w:rPr>
      </w:pPr>
      <w:r w:rsidRPr="001046F4">
        <w:rPr>
          <w:sz w:val="56"/>
          <w:szCs w:val="56"/>
        </w:rPr>
        <w:t>Insurance Products Glossary</w:t>
      </w:r>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A</w:t>
      </w:r>
    </w:p>
    <w:p w:rsidR="001046F4" w:rsidRPr="001046F4" w:rsidRDefault="001046F4" w:rsidP="001046F4">
      <w:pPr>
        <w:shd w:val="clear" w:color="auto" w:fill="FFFFFF"/>
        <w:spacing w:after="0" w:line="240" w:lineRule="auto"/>
        <w:jc w:val="center"/>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Annuity</w:t>
      </w:r>
    </w:p>
    <w:p w:rsidR="001046F4" w:rsidRPr="001046F4" w:rsidRDefault="001046F4" w:rsidP="001046F4">
      <w:pPr>
        <w:shd w:val="clear" w:color="auto" w:fill="FFFFFF"/>
        <w:spacing w:after="0" w:line="240" w:lineRule="auto"/>
        <w:ind w:left="720"/>
        <w:jc w:val="center"/>
        <w:rPr>
          <w:rFonts w:ascii="Arial" w:eastAsia="Times New Roman" w:hAnsi="Arial" w:cs="Arial"/>
          <w:color w:val="5F574F"/>
          <w:sz w:val="24"/>
          <w:szCs w:val="24"/>
        </w:rPr>
      </w:pPr>
      <w:r w:rsidRPr="001046F4">
        <w:rPr>
          <w:rFonts w:ascii="Arial" w:eastAsia="Times New Roman" w:hAnsi="Arial" w:cs="Arial"/>
          <w:color w:val="5F574F"/>
          <w:sz w:val="24"/>
          <w:szCs w:val="24"/>
        </w:rPr>
        <w:t>A contract between an individual and an insurance company under which the insurer promises to make periodic payments to the individual (or another designated person) for an indefinite period (e.g., the life of the individual) or for a set period. The individual buys the annuity with either a single payment or a series of payments.</w:t>
      </w:r>
    </w:p>
    <w:p w:rsidR="001046F4" w:rsidRPr="001046F4" w:rsidRDefault="001046F4" w:rsidP="001046F4">
      <w:pPr>
        <w:pBdr>
          <w:top w:val="dotted" w:sz="6" w:space="6" w:color="CCCCCC"/>
          <w:bottom w:val="dotted" w:sz="6" w:space="0" w:color="CCCCCC"/>
        </w:pBdr>
        <w:shd w:val="clear" w:color="auto" w:fill="FFFFFF"/>
        <w:spacing w:after="0" w:line="240" w:lineRule="auto"/>
        <w:jc w:val="center"/>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Annuity Commencement Date</w:t>
      </w:r>
    </w:p>
    <w:p w:rsidR="001046F4" w:rsidRPr="001046F4" w:rsidRDefault="001046F4" w:rsidP="001046F4">
      <w:pPr>
        <w:pBdr>
          <w:top w:val="dotted" w:sz="6" w:space="6" w:color="CCCCCC"/>
          <w:bottom w:val="dotted" w:sz="6" w:space="0" w:color="CCCCCC"/>
        </w:pBdr>
        <w:shd w:val="clear" w:color="auto" w:fill="FFFFFF"/>
        <w:spacing w:after="0" w:line="240" w:lineRule="auto"/>
        <w:ind w:left="720"/>
        <w:jc w:val="center"/>
        <w:rPr>
          <w:rFonts w:ascii="Arial" w:eastAsia="Times New Roman" w:hAnsi="Arial" w:cs="Arial"/>
          <w:color w:val="5F574F"/>
          <w:sz w:val="24"/>
          <w:szCs w:val="24"/>
        </w:rPr>
      </w:pPr>
      <w:r w:rsidRPr="001046F4">
        <w:rPr>
          <w:rFonts w:ascii="Arial" w:eastAsia="Times New Roman" w:hAnsi="Arial" w:cs="Arial"/>
          <w:color w:val="5F574F"/>
          <w:sz w:val="24"/>
          <w:szCs w:val="24"/>
        </w:rPr>
        <w:t xml:space="preserve">The date set forth in the annuity contract on which annuity payments will start. </w:t>
      </w:r>
      <w:proofErr w:type="gramStart"/>
      <w:r w:rsidRPr="001046F4">
        <w:rPr>
          <w:rFonts w:ascii="Arial" w:eastAsia="Times New Roman" w:hAnsi="Arial" w:cs="Arial"/>
          <w:color w:val="5F574F"/>
          <w:sz w:val="24"/>
          <w:szCs w:val="24"/>
        </w:rPr>
        <w:t>Also known as the “annuity start date.”</w:t>
      </w:r>
      <w:proofErr w:type="gramEnd"/>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4"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B</w:t>
      </w:r>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5"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C</w:t>
      </w:r>
    </w:p>
    <w:p w:rsidR="001046F4" w:rsidRPr="001046F4" w:rsidRDefault="001046F4" w:rsidP="001046F4">
      <w:pPr>
        <w:shd w:val="clear" w:color="auto" w:fill="FFFFFF"/>
        <w:spacing w:after="0" w:line="240" w:lineRule="auto"/>
        <w:jc w:val="center"/>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Cash Refund Annuity</w:t>
      </w:r>
    </w:p>
    <w:p w:rsidR="001046F4" w:rsidRPr="001046F4" w:rsidRDefault="001046F4" w:rsidP="001046F4">
      <w:pPr>
        <w:shd w:val="clear" w:color="auto" w:fill="FFFFFF"/>
        <w:spacing w:after="0" w:line="240" w:lineRule="auto"/>
        <w:ind w:left="720"/>
        <w:jc w:val="center"/>
        <w:rPr>
          <w:rFonts w:ascii="Arial" w:eastAsia="Times New Roman" w:hAnsi="Arial" w:cs="Arial"/>
          <w:color w:val="5F574F"/>
          <w:sz w:val="24"/>
          <w:szCs w:val="24"/>
        </w:rPr>
      </w:pPr>
      <w:r w:rsidRPr="001046F4">
        <w:rPr>
          <w:rFonts w:ascii="Arial" w:eastAsia="Times New Roman" w:hAnsi="Arial" w:cs="Arial"/>
          <w:color w:val="5F574F"/>
          <w:sz w:val="24"/>
          <w:szCs w:val="24"/>
        </w:rPr>
        <w:t>An annuity that makes periodic payments for the life of an individual and a benefit payable to a beneficiary upon death equal to the premium(s) paid less payments made to the individual.</w:t>
      </w:r>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6"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D</w:t>
      </w:r>
    </w:p>
    <w:p w:rsidR="001046F4" w:rsidRPr="001046F4" w:rsidRDefault="001046F4" w:rsidP="001046F4">
      <w:pPr>
        <w:shd w:val="clear" w:color="auto" w:fill="FFFFFF"/>
        <w:spacing w:after="0" w:line="240" w:lineRule="auto"/>
        <w:jc w:val="center"/>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Deferred Annuity</w:t>
      </w:r>
    </w:p>
    <w:p w:rsidR="001046F4" w:rsidRPr="001046F4" w:rsidRDefault="001046F4" w:rsidP="001046F4">
      <w:pPr>
        <w:shd w:val="clear" w:color="auto" w:fill="FFFFFF"/>
        <w:spacing w:after="0" w:line="240" w:lineRule="auto"/>
        <w:ind w:left="720"/>
        <w:jc w:val="center"/>
        <w:rPr>
          <w:rFonts w:ascii="Arial" w:eastAsia="Times New Roman" w:hAnsi="Arial" w:cs="Arial"/>
          <w:color w:val="5F574F"/>
          <w:sz w:val="24"/>
          <w:szCs w:val="24"/>
        </w:rPr>
      </w:pPr>
      <w:proofErr w:type="gramStart"/>
      <w:r w:rsidRPr="001046F4">
        <w:rPr>
          <w:rFonts w:ascii="Arial" w:eastAsia="Times New Roman" w:hAnsi="Arial" w:cs="Arial"/>
          <w:color w:val="5F574F"/>
          <w:sz w:val="24"/>
          <w:szCs w:val="24"/>
        </w:rPr>
        <w:t>An annuity contract under which periodic income payments begin at a future date.</w:t>
      </w:r>
      <w:proofErr w:type="gramEnd"/>
      <w:r w:rsidRPr="001046F4">
        <w:rPr>
          <w:rFonts w:ascii="Arial" w:eastAsia="Times New Roman" w:hAnsi="Arial" w:cs="Arial"/>
          <w:color w:val="5F574F"/>
          <w:sz w:val="24"/>
          <w:szCs w:val="24"/>
        </w:rPr>
        <w:t xml:space="preserve"> See </w:t>
      </w:r>
      <w:r w:rsidRPr="001046F4">
        <w:rPr>
          <w:rFonts w:ascii="Arial" w:eastAsia="Times New Roman" w:hAnsi="Arial" w:cs="Arial"/>
          <w:i/>
          <w:iCs/>
          <w:color w:val="5F574F"/>
          <w:sz w:val="24"/>
          <w:szCs w:val="24"/>
        </w:rPr>
        <w:t>Annuity Commencement Date</w:t>
      </w:r>
      <w:r w:rsidRPr="001046F4">
        <w:rPr>
          <w:rFonts w:ascii="Arial" w:eastAsia="Times New Roman" w:hAnsi="Arial" w:cs="Arial"/>
          <w:color w:val="5F574F"/>
          <w:sz w:val="24"/>
          <w:szCs w:val="24"/>
        </w:rPr>
        <w:t>.</w:t>
      </w:r>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7"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E</w:t>
      </w:r>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8"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F</w:t>
      </w:r>
    </w:p>
    <w:p w:rsidR="001046F4" w:rsidRPr="001046F4" w:rsidRDefault="001046F4" w:rsidP="001046F4">
      <w:pPr>
        <w:shd w:val="clear" w:color="auto" w:fill="FFFFFF"/>
        <w:spacing w:after="0" w:line="240" w:lineRule="auto"/>
        <w:jc w:val="center"/>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Fixed Annuity</w:t>
      </w:r>
    </w:p>
    <w:p w:rsidR="001046F4" w:rsidRPr="001046F4" w:rsidRDefault="001046F4" w:rsidP="001046F4">
      <w:pPr>
        <w:shd w:val="clear" w:color="auto" w:fill="FFFFFF"/>
        <w:spacing w:after="0" w:line="240" w:lineRule="auto"/>
        <w:ind w:left="720"/>
        <w:jc w:val="center"/>
        <w:rPr>
          <w:rFonts w:ascii="Arial" w:eastAsia="Times New Roman" w:hAnsi="Arial" w:cs="Arial"/>
          <w:color w:val="5F574F"/>
          <w:sz w:val="24"/>
          <w:szCs w:val="24"/>
        </w:rPr>
      </w:pPr>
      <w:r w:rsidRPr="001046F4">
        <w:rPr>
          <w:rFonts w:ascii="Arial" w:eastAsia="Times New Roman" w:hAnsi="Arial" w:cs="Arial"/>
          <w:color w:val="5F574F"/>
          <w:sz w:val="24"/>
          <w:szCs w:val="24"/>
        </w:rPr>
        <w:t>An annuity that accumulates savings or distributes income at guaranteed rates and in guaranteed amounts. Fixed annuities are associated with less investment risk than variable annuities due to the guaranteed minimum rate of interest offered.</w:t>
      </w:r>
    </w:p>
    <w:p w:rsidR="001046F4" w:rsidRPr="001046F4" w:rsidRDefault="001046F4" w:rsidP="001046F4">
      <w:pPr>
        <w:pBdr>
          <w:top w:val="dotted" w:sz="6" w:space="6" w:color="CCCCCC"/>
          <w:bottom w:val="dotted" w:sz="6" w:space="0" w:color="CCCCCC"/>
        </w:pBdr>
        <w:shd w:val="clear" w:color="auto" w:fill="FFFFFF"/>
        <w:spacing w:after="0" w:line="240" w:lineRule="auto"/>
        <w:jc w:val="center"/>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Fixed Income Contracts</w:t>
      </w:r>
    </w:p>
    <w:p w:rsidR="001046F4" w:rsidRPr="001046F4" w:rsidRDefault="001046F4" w:rsidP="001046F4">
      <w:pPr>
        <w:pBdr>
          <w:top w:val="dotted" w:sz="6" w:space="6" w:color="CCCCCC"/>
          <w:bottom w:val="dotted" w:sz="6" w:space="0" w:color="CCCCCC"/>
        </w:pBdr>
        <w:shd w:val="clear" w:color="auto" w:fill="FFFFFF"/>
        <w:spacing w:after="0" w:line="240" w:lineRule="auto"/>
        <w:ind w:left="720"/>
        <w:jc w:val="center"/>
        <w:rPr>
          <w:rFonts w:ascii="Arial" w:eastAsia="Times New Roman" w:hAnsi="Arial" w:cs="Arial"/>
          <w:color w:val="5F574F"/>
          <w:sz w:val="24"/>
          <w:szCs w:val="24"/>
        </w:rPr>
      </w:pPr>
      <w:r w:rsidRPr="001046F4">
        <w:rPr>
          <w:rFonts w:ascii="Arial" w:eastAsia="Times New Roman" w:hAnsi="Arial" w:cs="Arial"/>
          <w:color w:val="5F574F"/>
          <w:sz w:val="24"/>
          <w:szCs w:val="24"/>
        </w:rPr>
        <w:t xml:space="preserve">Investments generally issued by insurance companies or banks that pay a set interest rate over a set time period, with a promise to repay the principal at </w:t>
      </w:r>
      <w:r w:rsidRPr="001046F4">
        <w:rPr>
          <w:rFonts w:ascii="Arial" w:eastAsia="Times New Roman" w:hAnsi="Arial" w:cs="Arial"/>
          <w:color w:val="5F574F"/>
          <w:sz w:val="24"/>
          <w:szCs w:val="24"/>
        </w:rPr>
        <w:lastRenderedPageBreak/>
        <w:t xml:space="preserve">maturity. The issuer of the contract bears any risk associated with the securities underlying the contract. </w:t>
      </w:r>
      <w:proofErr w:type="gramStart"/>
      <w:r w:rsidRPr="001046F4">
        <w:rPr>
          <w:rFonts w:ascii="Arial" w:eastAsia="Times New Roman" w:hAnsi="Arial" w:cs="Arial"/>
          <w:color w:val="5F574F"/>
          <w:sz w:val="24"/>
          <w:szCs w:val="24"/>
        </w:rPr>
        <w:t xml:space="preserve">Often called </w:t>
      </w:r>
      <w:r w:rsidRPr="001046F4">
        <w:rPr>
          <w:rFonts w:ascii="Arial" w:eastAsia="Times New Roman" w:hAnsi="Arial" w:cs="Arial"/>
          <w:i/>
          <w:iCs/>
          <w:color w:val="5F574F"/>
          <w:sz w:val="24"/>
          <w:szCs w:val="24"/>
        </w:rPr>
        <w:t>Guaranteed Investment Contracts</w:t>
      </w:r>
      <w:r w:rsidRPr="001046F4">
        <w:rPr>
          <w:rFonts w:ascii="Arial" w:eastAsia="Times New Roman" w:hAnsi="Arial" w:cs="Arial"/>
          <w:color w:val="5F574F"/>
          <w:sz w:val="24"/>
          <w:szCs w:val="24"/>
        </w:rPr>
        <w:t>.</w:t>
      </w:r>
      <w:proofErr w:type="gramEnd"/>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9"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G</w:t>
      </w:r>
    </w:p>
    <w:p w:rsidR="001046F4" w:rsidRPr="001046F4" w:rsidRDefault="001046F4" w:rsidP="001046F4">
      <w:pPr>
        <w:shd w:val="clear" w:color="auto" w:fill="FFFFFF"/>
        <w:spacing w:after="0" w:line="240" w:lineRule="auto"/>
        <w:jc w:val="center"/>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Group Annuity Contract</w:t>
      </w:r>
    </w:p>
    <w:p w:rsidR="001046F4" w:rsidRPr="001046F4" w:rsidRDefault="001046F4" w:rsidP="001046F4">
      <w:pPr>
        <w:shd w:val="clear" w:color="auto" w:fill="FFFFFF"/>
        <w:spacing w:after="0" w:line="240" w:lineRule="auto"/>
        <w:ind w:left="720"/>
        <w:jc w:val="center"/>
        <w:rPr>
          <w:rFonts w:ascii="Arial" w:eastAsia="Times New Roman" w:hAnsi="Arial" w:cs="Arial"/>
          <w:color w:val="5F574F"/>
          <w:sz w:val="24"/>
          <w:szCs w:val="24"/>
        </w:rPr>
      </w:pPr>
      <w:r w:rsidRPr="001046F4">
        <w:rPr>
          <w:rFonts w:ascii="Arial" w:eastAsia="Times New Roman" w:hAnsi="Arial" w:cs="Arial"/>
          <w:color w:val="5F574F"/>
          <w:sz w:val="24"/>
          <w:szCs w:val="24"/>
        </w:rPr>
        <w:t>An annuity contract entered into between an insurance company and an owner for the benefit of a designated group, such as retirement plan participants.</w:t>
      </w:r>
    </w:p>
    <w:p w:rsidR="001046F4" w:rsidRPr="001046F4" w:rsidRDefault="001046F4" w:rsidP="001046F4">
      <w:pPr>
        <w:pBdr>
          <w:top w:val="dotted" w:sz="6" w:space="6" w:color="CCCCCC"/>
          <w:bottom w:val="dotted" w:sz="6" w:space="0" w:color="CCCCCC"/>
        </w:pBdr>
        <w:shd w:val="clear" w:color="auto" w:fill="FFFFFF"/>
        <w:spacing w:after="0" w:line="240" w:lineRule="auto"/>
        <w:jc w:val="center"/>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Guaranteed Interest Account</w:t>
      </w:r>
    </w:p>
    <w:p w:rsidR="001046F4" w:rsidRPr="001046F4" w:rsidRDefault="001046F4" w:rsidP="001046F4">
      <w:pPr>
        <w:pBdr>
          <w:top w:val="dotted" w:sz="6" w:space="6" w:color="CCCCCC"/>
          <w:bottom w:val="dotted" w:sz="6" w:space="0" w:color="CCCCCC"/>
        </w:pBdr>
        <w:shd w:val="clear" w:color="auto" w:fill="FFFFFF"/>
        <w:spacing w:after="0" w:line="240" w:lineRule="auto"/>
        <w:ind w:left="720"/>
        <w:jc w:val="center"/>
        <w:rPr>
          <w:rFonts w:ascii="Arial" w:eastAsia="Times New Roman" w:hAnsi="Arial" w:cs="Arial"/>
          <w:color w:val="5F574F"/>
          <w:sz w:val="24"/>
          <w:szCs w:val="24"/>
        </w:rPr>
      </w:pPr>
      <w:proofErr w:type="gramStart"/>
      <w:r w:rsidRPr="001046F4">
        <w:rPr>
          <w:rFonts w:ascii="Arial" w:eastAsia="Times New Roman" w:hAnsi="Arial" w:cs="Arial"/>
          <w:color w:val="5F574F"/>
          <w:sz w:val="24"/>
          <w:szCs w:val="24"/>
        </w:rPr>
        <w:t>An account within a fixed annuity or a variable annuity that is guaranteed by the insurance company to earn at least a minimum rate of interest while invested in the contract.</w:t>
      </w:r>
      <w:proofErr w:type="gramEnd"/>
    </w:p>
    <w:p w:rsidR="001046F4" w:rsidRPr="001046F4" w:rsidRDefault="001046F4" w:rsidP="001046F4">
      <w:pPr>
        <w:pBdr>
          <w:top w:val="dotted" w:sz="6" w:space="6" w:color="CCCCCC"/>
          <w:bottom w:val="dotted" w:sz="6" w:space="0" w:color="CCCCCC"/>
        </w:pBdr>
        <w:shd w:val="clear" w:color="auto" w:fill="FFFFFF"/>
        <w:spacing w:after="0" w:line="240" w:lineRule="auto"/>
        <w:jc w:val="center"/>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Guaranteed Investment Contracts</w:t>
      </w:r>
    </w:p>
    <w:p w:rsidR="001046F4" w:rsidRPr="001046F4" w:rsidRDefault="001046F4" w:rsidP="001046F4">
      <w:pPr>
        <w:pBdr>
          <w:top w:val="dotted" w:sz="6" w:space="6" w:color="CCCCCC"/>
          <w:bottom w:val="dotted" w:sz="6" w:space="0" w:color="CCCCCC"/>
        </w:pBdr>
        <w:shd w:val="clear" w:color="auto" w:fill="FFFFFF"/>
        <w:spacing w:after="0" w:line="240" w:lineRule="auto"/>
        <w:ind w:left="720"/>
        <w:jc w:val="center"/>
        <w:rPr>
          <w:rFonts w:ascii="Arial" w:eastAsia="Times New Roman" w:hAnsi="Arial" w:cs="Arial"/>
          <w:color w:val="5F574F"/>
          <w:sz w:val="24"/>
          <w:szCs w:val="24"/>
        </w:rPr>
      </w:pPr>
      <w:r w:rsidRPr="001046F4">
        <w:rPr>
          <w:rFonts w:ascii="Arial" w:eastAsia="Times New Roman" w:hAnsi="Arial" w:cs="Arial"/>
          <w:color w:val="5F574F"/>
          <w:sz w:val="24"/>
          <w:szCs w:val="24"/>
        </w:rPr>
        <w:t xml:space="preserve">Investments generally issued by insurance companies or banks that pay a set interest rate over a set time period, with a promise to repay the principal at maturity. Risk is considered low if the contracts are issued by a financially sound organization. The issuer of the contract bears any risk associated with the securities underlying the contract. </w:t>
      </w:r>
      <w:proofErr w:type="gramStart"/>
      <w:r w:rsidRPr="001046F4">
        <w:rPr>
          <w:rFonts w:ascii="Arial" w:eastAsia="Times New Roman" w:hAnsi="Arial" w:cs="Arial"/>
          <w:color w:val="5F574F"/>
          <w:sz w:val="24"/>
          <w:szCs w:val="24"/>
        </w:rPr>
        <w:t xml:space="preserve">Also called </w:t>
      </w:r>
      <w:r w:rsidRPr="001046F4">
        <w:rPr>
          <w:rFonts w:ascii="Arial" w:eastAsia="Times New Roman" w:hAnsi="Arial" w:cs="Arial"/>
          <w:i/>
          <w:iCs/>
          <w:color w:val="5F574F"/>
          <w:sz w:val="24"/>
          <w:szCs w:val="24"/>
        </w:rPr>
        <w:t>Fixed Income Contracts</w:t>
      </w:r>
      <w:r w:rsidRPr="001046F4">
        <w:rPr>
          <w:rFonts w:ascii="Arial" w:eastAsia="Times New Roman" w:hAnsi="Arial" w:cs="Arial"/>
          <w:color w:val="5F574F"/>
          <w:sz w:val="24"/>
          <w:szCs w:val="24"/>
        </w:rPr>
        <w:t>.</w:t>
      </w:r>
      <w:proofErr w:type="gramEnd"/>
    </w:p>
    <w:p w:rsidR="001046F4" w:rsidRPr="001046F4" w:rsidRDefault="001046F4" w:rsidP="001046F4">
      <w:pPr>
        <w:pBdr>
          <w:top w:val="dotted" w:sz="6" w:space="6" w:color="CCCCCC"/>
          <w:bottom w:val="dotted" w:sz="6" w:space="0" w:color="CCCCCC"/>
        </w:pBdr>
        <w:shd w:val="clear" w:color="auto" w:fill="FFFFFF"/>
        <w:spacing w:after="0" w:line="240" w:lineRule="auto"/>
        <w:jc w:val="center"/>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Guaranteed Lifetime Withdrawal Benefit or Guaranteed Minimum Withdrawal Benefit</w:t>
      </w:r>
    </w:p>
    <w:p w:rsidR="001046F4" w:rsidRPr="001046F4" w:rsidRDefault="001046F4" w:rsidP="001046F4">
      <w:pPr>
        <w:pBdr>
          <w:top w:val="dotted" w:sz="6" w:space="6" w:color="CCCCCC"/>
          <w:bottom w:val="dotted" w:sz="6" w:space="0" w:color="CCCCCC"/>
        </w:pBdr>
        <w:shd w:val="clear" w:color="auto" w:fill="FFFFFF"/>
        <w:spacing w:after="0" w:line="240" w:lineRule="auto"/>
        <w:ind w:left="720"/>
        <w:jc w:val="center"/>
        <w:rPr>
          <w:rFonts w:ascii="Arial" w:eastAsia="Times New Roman" w:hAnsi="Arial" w:cs="Arial"/>
          <w:color w:val="5F574F"/>
          <w:sz w:val="24"/>
          <w:szCs w:val="24"/>
        </w:rPr>
      </w:pPr>
      <w:r w:rsidRPr="001046F4">
        <w:rPr>
          <w:rFonts w:ascii="Arial" w:eastAsia="Times New Roman" w:hAnsi="Arial" w:cs="Arial"/>
          <w:color w:val="5F574F"/>
          <w:sz w:val="24"/>
          <w:szCs w:val="24"/>
        </w:rPr>
        <w:t>A feature that may be offered under an annuity contract in which the insurance company promises an individual may withdraw a specified amount from an account, even if the account balance is reduced to zero: (1) for the life of the individual or the joint lives of two individuals (e.g., the individual and spouse); or (2) for a specified period of time.</w:t>
      </w:r>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10"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H</w:t>
      </w:r>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11"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I</w:t>
      </w:r>
    </w:p>
    <w:p w:rsidR="001046F4" w:rsidRPr="001046F4" w:rsidRDefault="001046F4" w:rsidP="001046F4">
      <w:pPr>
        <w:shd w:val="clear" w:color="auto" w:fill="FFFFFF"/>
        <w:spacing w:after="0" w:line="240" w:lineRule="auto"/>
        <w:jc w:val="center"/>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Immediate Annuity</w:t>
      </w:r>
    </w:p>
    <w:p w:rsidR="001046F4" w:rsidRPr="001046F4" w:rsidRDefault="001046F4" w:rsidP="001046F4">
      <w:pPr>
        <w:shd w:val="clear" w:color="auto" w:fill="FFFFFF"/>
        <w:spacing w:after="0" w:line="240" w:lineRule="auto"/>
        <w:ind w:left="720"/>
        <w:jc w:val="center"/>
        <w:rPr>
          <w:rFonts w:ascii="Arial" w:eastAsia="Times New Roman" w:hAnsi="Arial" w:cs="Arial"/>
          <w:color w:val="5F574F"/>
          <w:sz w:val="24"/>
          <w:szCs w:val="24"/>
        </w:rPr>
      </w:pPr>
      <w:proofErr w:type="gramStart"/>
      <w:r w:rsidRPr="001046F4">
        <w:rPr>
          <w:rFonts w:ascii="Arial" w:eastAsia="Times New Roman" w:hAnsi="Arial" w:cs="Arial"/>
          <w:color w:val="5F574F"/>
          <w:sz w:val="24"/>
          <w:szCs w:val="24"/>
        </w:rPr>
        <w:t>An annuity contract under which periodic income payments begin within 12 months of purchase.</w:t>
      </w:r>
      <w:proofErr w:type="gramEnd"/>
    </w:p>
    <w:p w:rsidR="001046F4" w:rsidRPr="001046F4" w:rsidRDefault="001046F4" w:rsidP="001046F4">
      <w:pPr>
        <w:pBdr>
          <w:top w:val="dotted" w:sz="6" w:space="6" w:color="CCCCCC"/>
          <w:bottom w:val="dotted" w:sz="6" w:space="0" w:color="CCCCCC"/>
        </w:pBdr>
        <w:shd w:val="clear" w:color="auto" w:fill="FFFFFF"/>
        <w:spacing w:after="0" w:line="240" w:lineRule="auto"/>
        <w:jc w:val="center"/>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Individual Annuity Contract</w:t>
      </w:r>
    </w:p>
    <w:p w:rsidR="001046F4" w:rsidRPr="001046F4" w:rsidRDefault="001046F4" w:rsidP="001046F4">
      <w:pPr>
        <w:pBdr>
          <w:top w:val="dotted" w:sz="6" w:space="6" w:color="CCCCCC"/>
          <w:bottom w:val="dotted" w:sz="6" w:space="0" w:color="CCCCCC"/>
        </w:pBdr>
        <w:shd w:val="clear" w:color="auto" w:fill="FFFFFF"/>
        <w:spacing w:after="0" w:line="240" w:lineRule="auto"/>
        <w:ind w:left="720"/>
        <w:jc w:val="center"/>
        <w:rPr>
          <w:rFonts w:ascii="Arial" w:eastAsia="Times New Roman" w:hAnsi="Arial" w:cs="Arial"/>
          <w:color w:val="5F574F"/>
          <w:sz w:val="24"/>
          <w:szCs w:val="24"/>
        </w:rPr>
      </w:pPr>
      <w:r w:rsidRPr="001046F4">
        <w:rPr>
          <w:rFonts w:ascii="Arial" w:eastAsia="Times New Roman" w:hAnsi="Arial" w:cs="Arial"/>
          <w:color w:val="5F574F"/>
          <w:sz w:val="24"/>
          <w:szCs w:val="24"/>
        </w:rPr>
        <w:t>An annuity contract generally entered into between an insurance company and a person or persons.</w:t>
      </w:r>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12"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J</w:t>
      </w:r>
    </w:p>
    <w:p w:rsidR="001046F4" w:rsidRPr="001046F4" w:rsidRDefault="001046F4" w:rsidP="001046F4">
      <w:pPr>
        <w:shd w:val="clear" w:color="auto" w:fill="FFFFFF"/>
        <w:spacing w:after="0" w:line="240" w:lineRule="auto"/>
        <w:jc w:val="center"/>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Joint and Last Survivor Annuity</w:t>
      </w:r>
    </w:p>
    <w:p w:rsidR="001046F4" w:rsidRPr="001046F4" w:rsidRDefault="001046F4" w:rsidP="001046F4">
      <w:pPr>
        <w:shd w:val="clear" w:color="auto" w:fill="FFFFFF"/>
        <w:spacing w:after="0" w:line="240" w:lineRule="auto"/>
        <w:ind w:left="720"/>
        <w:jc w:val="center"/>
        <w:rPr>
          <w:rFonts w:ascii="Arial" w:eastAsia="Times New Roman" w:hAnsi="Arial" w:cs="Arial"/>
          <w:color w:val="5F574F"/>
          <w:sz w:val="24"/>
          <w:szCs w:val="24"/>
        </w:rPr>
      </w:pPr>
      <w:proofErr w:type="gramStart"/>
      <w:r w:rsidRPr="001046F4">
        <w:rPr>
          <w:rFonts w:ascii="Arial" w:eastAsia="Times New Roman" w:hAnsi="Arial" w:cs="Arial"/>
          <w:color w:val="5F574F"/>
          <w:sz w:val="24"/>
          <w:szCs w:val="24"/>
        </w:rPr>
        <w:t xml:space="preserve">An annuity that provides periodic payments for the joint lives of two individuals with benefits payable upon the death of one individual to the surviving individual </w:t>
      </w:r>
      <w:r w:rsidRPr="001046F4">
        <w:rPr>
          <w:rFonts w:ascii="Arial" w:eastAsia="Times New Roman" w:hAnsi="Arial" w:cs="Arial"/>
          <w:color w:val="5F574F"/>
          <w:sz w:val="24"/>
          <w:szCs w:val="24"/>
        </w:rPr>
        <w:lastRenderedPageBreak/>
        <w:t>at, for example, 50%, 75%, or 100% of the original payment amount, depending upon the terms of the contract.</w:t>
      </w:r>
      <w:proofErr w:type="gramEnd"/>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13"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K</w:t>
      </w:r>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14"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L</w:t>
      </w:r>
    </w:p>
    <w:p w:rsidR="001046F4" w:rsidRPr="001046F4" w:rsidRDefault="001046F4" w:rsidP="001046F4">
      <w:pPr>
        <w:shd w:val="clear" w:color="auto" w:fill="FFFFFF"/>
        <w:spacing w:after="0" w:line="240" w:lineRule="auto"/>
        <w:jc w:val="center"/>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Life Annuity</w:t>
      </w:r>
    </w:p>
    <w:p w:rsidR="001046F4" w:rsidRPr="001046F4" w:rsidRDefault="001046F4" w:rsidP="001046F4">
      <w:pPr>
        <w:shd w:val="clear" w:color="auto" w:fill="FFFFFF"/>
        <w:spacing w:after="0" w:line="240" w:lineRule="auto"/>
        <w:ind w:left="720"/>
        <w:jc w:val="center"/>
        <w:rPr>
          <w:rFonts w:ascii="Arial" w:eastAsia="Times New Roman" w:hAnsi="Arial" w:cs="Arial"/>
          <w:color w:val="5F574F"/>
          <w:sz w:val="24"/>
          <w:szCs w:val="24"/>
        </w:rPr>
      </w:pPr>
      <w:proofErr w:type="gramStart"/>
      <w:r w:rsidRPr="001046F4">
        <w:rPr>
          <w:rFonts w:ascii="Arial" w:eastAsia="Times New Roman" w:hAnsi="Arial" w:cs="Arial"/>
          <w:color w:val="5F574F"/>
          <w:sz w:val="24"/>
          <w:szCs w:val="24"/>
        </w:rPr>
        <w:t>An annuity that makes periodic payments only for the life of one individual.</w:t>
      </w:r>
      <w:proofErr w:type="gramEnd"/>
      <w:r w:rsidRPr="001046F4">
        <w:rPr>
          <w:rFonts w:ascii="Arial" w:eastAsia="Times New Roman" w:hAnsi="Arial" w:cs="Arial"/>
          <w:color w:val="5F574F"/>
          <w:sz w:val="24"/>
          <w:szCs w:val="24"/>
        </w:rPr>
        <w:t xml:space="preserve"> </w:t>
      </w:r>
      <w:proofErr w:type="gramStart"/>
      <w:r w:rsidRPr="001046F4">
        <w:rPr>
          <w:rFonts w:ascii="Arial" w:eastAsia="Times New Roman" w:hAnsi="Arial" w:cs="Arial"/>
          <w:color w:val="5F574F"/>
          <w:sz w:val="24"/>
          <w:szCs w:val="24"/>
        </w:rPr>
        <w:t>Also known as "single life annuity."</w:t>
      </w:r>
      <w:proofErr w:type="gramEnd"/>
    </w:p>
    <w:p w:rsidR="001046F4" w:rsidRPr="001046F4" w:rsidRDefault="001046F4" w:rsidP="001046F4">
      <w:pPr>
        <w:pBdr>
          <w:top w:val="dotted" w:sz="6" w:space="6" w:color="CCCCCC"/>
          <w:bottom w:val="dotted" w:sz="6" w:space="0" w:color="CCCCCC"/>
        </w:pBdr>
        <w:shd w:val="clear" w:color="auto" w:fill="FFFFFF"/>
        <w:spacing w:after="0" w:line="240" w:lineRule="auto"/>
        <w:jc w:val="center"/>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Longevity Risk</w:t>
      </w:r>
    </w:p>
    <w:p w:rsidR="001046F4" w:rsidRPr="001046F4" w:rsidRDefault="001046F4" w:rsidP="001046F4">
      <w:pPr>
        <w:pBdr>
          <w:top w:val="dotted" w:sz="6" w:space="6" w:color="CCCCCC"/>
          <w:bottom w:val="dotted" w:sz="6" w:space="0" w:color="CCCCCC"/>
        </w:pBdr>
        <w:shd w:val="clear" w:color="auto" w:fill="FFFFFF"/>
        <w:spacing w:after="0" w:line="240" w:lineRule="auto"/>
        <w:ind w:left="720"/>
        <w:jc w:val="center"/>
        <w:rPr>
          <w:rFonts w:ascii="Arial" w:eastAsia="Times New Roman" w:hAnsi="Arial" w:cs="Arial"/>
          <w:color w:val="5F574F"/>
          <w:sz w:val="24"/>
          <w:szCs w:val="24"/>
        </w:rPr>
      </w:pPr>
      <w:proofErr w:type="gramStart"/>
      <w:r w:rsidRPr="001046F4">
        <w:rPr>
          <w:rFonts w:ascii="Arial" w:eastAsia="Times New Roman" w:hAnsi="Arial" w:cs="Arial"/>
          <w:color w:val="5F574F"/>
          <w:sz w:val="24"/>
          <w:szCs w:val="24"/>
        </w:rPr>
        <w:t>The risk that you will live longer than expected, with the potential result that you run out of money before you die.</w:t>
      </w:r>
      <w:proofErr w:type="gramEnd"/>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15"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M</w:t>
      </w:r>
    </w:p>
    <w:p w:rsidR="001046F4" w:rsidRPr="001046F4" w:rsidRDefault="001046F4" w:rsidP="001046F4">
      <w:pPr>
        <w:shd w:val="clear" w:color="auto" w:fill="FFFFFF"/>
        <w:spacing w:after="0" w:line="240" w:lineRule="auto"/>
        <w:jc w:val="center"/>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Mortality and Expense Risk Charge</w:t>
      </w:r>
    </w:p>
    <w:p w:rsidR="001046F4" w:rsidRPr="001046F4" w:rsidRDefault="001046F4" w:rsidP="001046F4">
      <w:pPr>
        <w:shd w:val="clear" w:color="auto" w:fill="FFFFFF"/>
        <w:spacing w:after="0" w:line="240" w:lineRule="auto"/>
        <w:ind w:left="720"/>
        <w:jc w:val="center"/>
        <w:rPr>
          <w:rFonts w:ascii="Arial" w:eastAsia="Times New Roman" w:hAnsi="Arial" w:cs="Arial"/>
          <w:color w:val="5F574F"/>
          <w:sz w:val="24"/>
          <w:szCs w:val="24"/>
        </w:rPr>
      </w:pPr>
      <w:r w:rsidRPr="001046F4">
        <w:rPr>
          <w:rFonts w:ascii="Arial" w:eastAsia="Times New Roman" w:hAnsi="Arial" w:cs="Arial"/>
          <w:color w:val="5F574F"/>
          <w:sz w:val="24"/>
          <w:szCs w:val="24"/>
        </w:rPr>
        <w:t>A fee associated with an annuity contract, stated as a percentage of account value to cover the insurance company’s costs for insurance-feature risks it assumes under the contract.</w:t>
      </w:r>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16"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N</w:t>
      </w:r>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17"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O</w:t>
      </w:r>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18"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P</w:t>
      </w:r>
    </w:p>
    <w:p w:rsidR="001046F4" w:rsidRPr="001046F4" w:rsidRDefault="001046F4" w:rsidP="001046F4">
      <w:pPr>
        <w:shd w:val="clear" w:color="auto" w:fill="FFFFFF"/>
        <w:spacing w:after="0" w:line="240" w:lineRule="auto"/>
        <w:jc w:val="center"/>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Period Certain</w:t>
      </w:r>
    </w:p>
    <w:p w:rsidR="001046F4" w:rsidRPr="001046F4" w:rsidRDefault="001046F4" w:rsidP="001046F4">
      <w:pPr>
        <w:shd w:val="clear" w:color="auto" w:fill="FFFFFF"/>
        <w:spacing w:after="0" w:line="240" w:lineRule="auto"/>
        <w:ind w:left="720"/>
        <w:jc w:val="center"/>
        <w:rPr>
          <w:rFonts w:ascii="Arial" w:eastAsia="Times New Roman" w:hAnsi="Arial" w:cs="Arial"/>
          <w:color w:val="5F574F"/>
          <w:sz w:val="24"/>
          <w:szCs w:val="24"/>
        </w:rPr>
      </w:pPr>
      <w:proofErr w:type="gramStart"/>
      <w:r w:rsidRPr="001046F4">
        <w:rPr>
          <w:rFonts w:ascii="Arial" w:eastAsia="Times New Roman" w:hAnsi="Arial" w:cs="Arial"/>
          <w:color w:val="5F574F"/>
          <w:sz w:val="24"/>
          <w:szCs w:val="24"/>
        </w:rPr>
        <w:t>A payment feature that may be available in an annuity contract that guarantees periodic payments for no less than a set period of time.</w:t>
      </w:r>
      <w:proofErr w:type="gramEnd"/>
      <w:r w:rsidRPr="001046F4">
        <w:rPr>
          <w:rFonts w:ascii="Arial" w:eastAsia="Times New Roman" w:hAnsi="Arial" w:cs="Arial"/>
          <w:color w:val="5F574F"/>
          <w:sz w:val="24"/>
          <w:szCs w:val="24"/>
        </w:rPr>
        <w:t xml:space="preserve"> For example, in a life annuity, periodic payments would be made for the longer of either: (1) the guaranteed period, to the individual or a beneficiary, or (2) the life of the individual.</w:t>
      </w:r>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19"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Q</w:t>
      </w:r>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20"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R</w:t>
      </w:r>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21"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S</w:t>
      </w:r>
    </w:p>
    <w:p w:rsidR="001046F4" w:rsidRPr="001046F4" w:rsidRDefault="001046F4" w:rsidP="001046F4">
      <w:pPr>
        <w:shd w:val="clear" w:color="auto" w:fill="FFFFFF"/>
        <w:spacing w:after="0" w:line="240" w:lineRule="auto"/>
        <w:jc w:val="center"/>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Surrender Charge</w:t>
      </w:r>
    </w:p>
    <w:p w:rsidR="001046F4" w:rsidRPr="001046F4" w:rsidRDefault="001046F4" w:rsidP="001046F4">
      <w:pPr>
        <w:shd w:val="clear" w:color="auto" w:fill="FFFFFF"/>
        <w:spacing w:after="0" w:line="240" w:lineRule="auto"/>
        <w:ind w:left="720"/>
        <w:jc w:val="center"/>
        <w:rPr>
          <w:rFonts w:ascii="Arial" w:eastAsia="Times New Roman" w:hAnsi="Arial" w:cs="Arial"/>
          <w:color w:val="5F574F"/>
          <w:sz w:val="24"/>
          <w:szCs w:val="24"/>
        </w:rPr>
      </w:pPr>
      <w:r w:rsidRPr="001046F4">
        <w:rPr>
          <w:rFonts w:ascii="Arial" w:eastAsia="Times New Roman" w:hAnsi="Arial" w:cs="Arial"/>
          <w:color w:val="5F574F"/>
          <w:sz w:val="24"/>
          <w:szCs w:val="24"/>
        </w:rPr>
        <w:t>A sales charge incurred when an investor withdraws money from an annuity within a certain period after purchase.</w:t>
      </w:r>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22"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lastRenderedPageBreak/>
        <w:t>T</w:t>
      </w:r>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23"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U</w:t>
      </w:r>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24"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V</w:t>
      </w:r>
    </w:p>
    <w:p w:rsidR="001046F4" w:rsidRPr="001046F4" w:rsidRDefault="001046F4" w:rsidP="001046F4">
      <w:pPr>
        <w:shd w:val="clear" w:color="auto" w:fill="FFFFFF"/>
        <w:spacing w:after="0" w:line="240" w:lineRule="auto"/>
        <w:jc w:val="center"/>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Variable Annuity</w:t>
      </w:r>
    </w:p>
    <w:p w:rsidR="001046F4" w:rsidRPr="001046F4" w:rsidRDefault="001046F4" w:rsidP="001046F4">
      <w:pPr>
        <w:shd w:val="clear" w:color="auto" w:fill="FFFFFF"/>
        <w:spacing w:after="0" w:line="240" w:lineRule="auto"/>
        <w:ind w:left="720"/>
        <w:jc w:val="center"/>
        <w:rPr>
          <w:rFonts w:ascii="Arial" w:eastAsia="Times New Roman" w:hAnsi="Arial" w:cs="Arial"/>
          <w:color w:val="5F574F"/>
          <w:sz w:val="24"/>
          <w:szCs w:val="24"/>
        </w:rPr>
      </w:pPr>
      <w:r w:rsidRPr="001046F4">
        <w:rPr>
          <w:rFonts w:ascii="Arial" w:eastAsia="Times New Roman" w:hAnsi="Arial" w:cs="Arial"/>
          <w:color w:val="5F574F"/>
          <w:sz w:val="24"/>
          <w:szCs w:val="24"/>
        </w:rPr>
        <w:t>A type of annuity that generally permits the investor to choose from a wide range of investment options, such as equity and bond funds (subaccounts), during the contract’s accumulation phase. During the contract’s accumulation phase, the contract value varies based on the performance of the underlying subaccounts. At the start of the contract’s payout phase, the investor may have a choice of receiving fixed payments or variable payments that may fluctuate based on portfolio subaccount performance.</w:t>
      </w:r>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25"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W</w:t>
      </w:r>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26"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keepNext/>
        <w:pBdr>
          <w:bottom w:val="single" w:sz="12" w:space="0" w:color="895C3F"/>
        </w:pBdr>
        <w:shd w:val="clear" w:color="auto" w:fill="FFFFFF"/>
        <w:spacing w:after="120" w:line="240" w:lineRule="auto"/>
        <w:jc w:val="center"/>
        <w:outlineLvl w:val="2"/>
        <w:rPr>
          <w:rFonts w:ascii="Arial" w:eastAsia="Times New Roman" w:hAnsi="Arial" w:cs="Arial"/>
          <w:b/>
          <w:bCs/>
          <w:color w:val="666666"/>
          <w:sz w:val="24"/>
          <w:szCs w:val="24"/>
        </w:rPr>
      </w:pPr>
      <w:r w:rsidRPr="001046F4">
        <w:rPr>
          <w:rFonts w:ascii="Arial" w:eastAsia="Times New Roman" w:hAnsi="Arial" w:cs="Arial"/>
          <w:b/>
          <w:bCs/>
          <w:color w:val="666666"/>
          <w:sz w:val="24"/>
          <w:szCs w:val="24"/>
        </w:rPr>
        <w:t>XYZ</w:t>
      </w:r>
    </w:p>
    <w:p w:rsidR="001046F4" w:rsidRPr="001046F4" w:rsidRDefault="00E60B14" w:rsidP="001046F4">
      <w:pPr>
        <w:shd w:val="clear" w:color="auto" w:fill="FFFFFF"/>
        <w:spacing w:after="0" w:line="240" w:lineRule="auto"/>
        <w:jc w:val="center"/>
        <w:rPr>
          <w:rFonts w:ascii="Arial" w:eastAsia="Times New Roman" w:hAnsi="Arial" w:cs="Arial"/>
          <w:color w:val="5F574F"/>
          <w:sz w:val="24"/>
          <w:szCs w:val="24"/>
        </w:rPr>
      </w:pPr>
      <w:hyperlink r:id="rId27" w:anchor="InsuranceTerms" w:history="1">
        <w:r w:rsidR="001046F4" w:rsidRPr="001046F4">
          <w:rPr>
            <w:rFonts w:ascii="Arial" w:eastAsia="Times New Roman" w:hAnsi="Arial" w:cs="Arial"/>
            <w:color w:val="0000FF"/>
            <w:sz w:val="24"/>
            <w:szCs w:val="24"/>
          </w:rPr>
          <w:t xml:space="preserve">BACK TO TOP </w:t>
        </w:r>
      </w:hyperlink>
    </w:p>
    <w:p w:rsidR="001046F4" w:rsidRPr="001046F4" w:rsidRDefault="001046F4" w:rsidP="001046F4">
      <w:pPr>
        <w:shd w:val="clear" w:color="auto" w:fill="FFFFFF"/>
        <w:spacing w:line="240" w:lineRule="auto"/>
        <w:jc w:val="center"/>
        <w:rPr>
          <w:rFonts w:ascii="Arial" w:eastAsia="Times New Roman" w:hAnsi="Arial" w:cs="Arial"/>
          <w:color w:val="5F574F"/>
          <w:sz w:val="24"/>
          <w:szCs w:val="24"/>
        </w:rPr>
      </w:pPr>
      <w:r w:rsidRPr="001046F4">
        <w:rPr>
          <w:rFonts w:ascii="Arial" w:eastAsia="Times New Roman" w:hAnsi="Arial" w:cs="Arial"/>
          <w:color w:val="5F574F"/>
          <w:sz w:val="24"/>
          <w:szCs w:val="24"/>
        </w:rPr>
        <w:br w:type="textWrapping" w:clear="all"/>
      </w:r>
    </w:p>
    <w:p w:rsidR="001046F4" w:rsidRPr="001046F4" w:rsidRDefault="001046F4">
      <w:pPr>
        <w:rPr>
          <w:sz w:val="24"/>
          <w:szCs w:val="24"/>
        </w:rPr>
      </w:pPr>
    </w:p>
    <w:sectPr w:rsidR="001046F4" w:rsidRPr="001046F4" w:rsidSect="00553B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horndale"/>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46F4"/>
    <w:rsid w:val="001046F4"/>
    <w:rsid w:val="00553BC8"/>
    <w:rsid w:val="00E60665"/>
    <w:rsid w:val="00E60B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B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046F4"/>
    <w:rPr>
      <w:i/>
      <w:iCs/>
    </w:rPr>
  </w:style>
</w:styles>
</file>

<file path=word/webSettings.xml><?xml version="1.0" encoding="utf-8"?>
<w:webSettings xmlns:r="http://schemas.openxmlformats.org/officeDocument/2006/relationships" xmlns:w="http://schemas.openxmlformats.org/wordprocessingml/2006/main">
  <w:divs>
    <w:div w:id="1247302243">
      <w:bodyDiv w:val="1"/>
      <w:marLeft w:val="0"/>
      <w:marRight w:val="0"/>
      <w:marTop w:val="0"/>
      <w:marBottom w:val="0"/>
      <w:divBdr>
        <w:top w:val="none" w:sz="0" w:space="0" w:color="auto"/>
        <w:left w:val="none" w:sz="0" w:space="0" w:color="auto"/>
        <w:bottom w:val="none" w:sz="0" w:space="0" w:color="auto"/>
        <w:right w:val="none" w:sz="0" w:space="0" w:color="auto"/>
      </w:divBdr>
      <w:divsChild>
        <w:div w:id="1027482465">
          <w:marLeft w:val="0"/>
          <w:marRight w:val="0"/>
          <w:marTop w:val="0"/>
          <w:marBottom w:val="300"/>
          <w:divBdr>
            <w:top w:val="none" w:sz="0" w:space="0" w:color="auto"/>
            <w:left w:val="none" w:sz="0" w:space="0" w:color="auto"/>
            <w:bottom w:val="single" w:sz="18" w:space="0" w:color="666666"/>
            <w:right w:val="none" w:sz="0" w:space="0" w:color="auto"/>
          </w:divBdr>
          <w:divsChild>
            <w:div w:id="1598370421">
              <w:marLeft w:val="0"/>
              <w:marRight w:val="0"/>
              <w:marTop w:val="0"/>
              <w:marBottom w:val="0"/>
              <w:divBdr>
                <w:top w:val="none" w:sz="0" w:space="0" w:color="auto"/>
                <w:left w:val="none" w:sz="0" w:space="0" w:color="auto"/>
                <w:bottom w:val="none" w:sz="0" w:space="0" w:color="auto"/>
                <w:right w:val="none" w:sz="0" w:space="0" w:color="auto"/>
              </w:divBdr>
              <w:divsChild>
                <w:div w:id="90667379">
                  <w:marLeft w:val="0"/>
                  <w:marRight w:val="0"/>
                  <w:marTop w:val="345"/>
                  <w:marBottom w:val="0"/>
                  <w:divBdr>
                    <w:top w:val="none" w:sz="0" w:space="0" w:color="auto"/>
                    <w:left w:val="none" w:sz="0" w:space="0" w:color="auto"/>
                    <w:bottom w:val="none" w:sz="0" w:space="0" w:color="auto"/>
                    <w:right w:val="none" w:sz="0" w:space="0" w:color="auto"/>
                  </w:divBdr>
                </w:div>
              </w:divsChild>
            </w:div>
          </w:divsChild>
        </w:div>
      </w:divsChild>
    </w:div>
    <w:div w:id="1672835890">
      <w:bodyDiv w:val="1"/>
      <w:marLeft w:val="0"/>
      <w:marRight w:val="0"/>
      <w:marTop w:val="0"/>
      <w:marBottom w:val="0"/>
      <w:divBdr>
        <w:top w:val="none" w:sz="0" w:space="0" w:color="auto"/>
        <w:left w:val="none" w:sz="0" w:space="0" w:color="auto"/>
        <w:bottom w:val="none" w:sz="0" w:space="0" w:color="auto"/>
        <w:right w:val="none" w:sz="0" w:space="0" w:color="auto"/>
      </w:divBdr>
      <w:divsChild>
        <w:div w:id="1567296485">
          <w:marLeft w:val="0"/>
          <w:marRight w:val="0"/>
          <w:marTop w:val="0"/>
          <w:marBottom w:val="300"/>
          <w:divBdr>
            <w:top w:val="none" w:sz="0" w:space="0" w:color="auto"/>
            <w:left w:val="none" w:sz="0" w:space="0" w:color="auto"/>
            <w:bottom w:val="single" w:sz="18" w:space="0" w:color="666666"/>
            <w:right w:val="none" w:sz="0" w:space="0" w:color="auto"/>
          </w:divBdr>
          <w:divsChild>
            <w:div w:id="1005977983">
              <w:marLeft w:val="0"/>
              <w:marRight w:val="0"/>
              <w:marTop w:val="0"/>
              <w:marBottom w:val="0"/>
              <w:divBdr>
                <w:top w:val="none" w:sz="0" w:space="0" w:color="auto"/>
                <w:left w:val="none" w:sz="0" w:space="0" w:color="auto"/>
                <w:bottom w:val="none" w:sz="0" w:space="0" w:color="auto"/>
                <w:right w:val="none" w:sz="0" w:space="0" w:color="auto"/>
              </w:divBdr>
              <w:divsChild>
                <w:div w:id="546574512">
                  <w:marLeft w:val="0"/>
                  <w:marRight w:val="0"/>
                  <w:marTop w:val="0"/>
                  <w:marBottom w:val="0"/>
                  <w:divBdr>
                    <w:top w:val="none" w:sz="0" w:space="0" w:color="auto"/>
                    <w:left w:val="none" w:sz="0" w:space="0" w:color="auto"/>
                    <w:bottom w:val="none" w:sz="0" w:space="0" w:color="auto"/>
                    <w:right w:val="none" w:sz="0" w:space="0" w:color="auto"/>
                  </w:divBdr>
                  <w:divsChild>
                    <w:div w:id="1708288584">
                      <w:marLeft w:val="0"/>
                      <w:marRight w:val="0"/>
                      <w:marTop w:val="0"/>
                      <w:marBottom w:val="0"/>
                      <w:divBdr>
                        <w:top w:val="none" w:sz="0" w:space="0" w:color="auto"/>
                        <w:left w:val="none" w:sz="0" w:space="0" w:color="auto"/>
                        <w:bottom w:val="none" w:sz="0" w:space="0" w:color="auto"/>
                        <w:right w:val="none" w:sz="0" w:space="0" w:color="auto"/>
                      </w:divBdr>
                      <w:divsChild>
                        <w:div w:id="1481383367">
                          <w:marLeft w:val="0"/>
                          <w:marRight w:val="0"/>
                          <w:marTop w:val="0"/>
                          <w:marBottom w:val="0"/>
                          <w:divBdr>
                            <w:top w:val="none" w:sz="0" w:space="0" w:color="auto"/>
                            <w:left w:val="none" w:sz="0" w:space="0" w:color="auto"/>
                            <w:bottom w:val="none" w:sz="0" w:space="0" w:color="auto"/>
                            <w:right w:val="none" w:sz="0" w:space="0" w:color="auto"/>
                          </w:divBdr>
                        </w:div>
                      </w:divsChild>
                    </w:div>
                    <w:div w:id="1796410487">
                      <w:marLeft w:val="0"/>
                      <w:marRight w:val="0"/>
                      <w:marTop w:val="0"/>
                      <w:marBottom w:val="0"/>
                      <w:divBdr>
                        <w:top w:val="none" w:sz="0" w:space="0" w:color="auto"/>
                        <w:left w:val="none" w:sz="0" w:space="0" w:color="auto"/>
                        <w:bottom w:val="none" w:sz="0" w:space="0" w:color="auto"/>
                        <w:right w:val="none" w:sz="0" w:space="0" w:color="auto"/>
                      </w:divBdr>
                      <w:divsChild>
                        <w:div w:id="1886597426">
                          <w:marLeft w:val="0"/>
                          <w:marRight w:val="0"/>
                          <w:marTop w:val="0"/>
                          <w:marBottom w:val="0"/>
                          <w:divBdr>
                            <w:top w:val="none" w:sz="0" w:space="0" w:color="auto"/>
                            <w:left w:val="none" w:sz="0" w:space="0" w:color="auto"/>
                            <w:bottom w:val="none" w:sz="0" w:space="0" w:color="auto"/>
                            <w:right w:val="none" w:sz="0" w:space="0" w:color="auto"/>
                          </w:divBdr>
                        </w:div>
                      </w:divsChild>
                    </w:div>
                    <w:div w:id="660278557">
                      <w:marLeft w:val="0"/>
                      <w:marRight w:val="0"/>
                      <w:marTop w:val="0"/>
                      <w:marBottom w:val="0"/>
                      <w:divBdr>
                        <w:top w:val="none" w:sz="0" w:space="0" w:color="auto"/>
                        <w:left w:val="none" w:sz="0" w:space="0" w:color="auto"/>
                        <w:bottom w:val="none" w:sz="0" w:space="0" w:color="auto"/>
                        <w:right w:val="none" w:sz="0" w:space="0" w:color="auto"/>
                      </w:divBdr>
                      <w:divsChild>
                        <w:div w:id="1046294259">
                          <w:marLeft w:val="0"/>
                          <w:marRight w:val="0"/>
                          <w:marTop w:val="0"/>
                          <w:marBottom w:val="0"/>
                          <w:divBdr>
                            <w:top w:val="none" w:sz="0" w:space="0" w:color="auto"/>
                            <w:left w:val="none" w:sz="0" w:space="0" w:color="auto"/>
                            <w:bottom w:val="none" w:sz="0" w:space="0" w:color="auto"/>
                            <w:right w:val="none" w:sz="0" w:space="0" w:color="auto"/>
                          </w:divBdr>
                        </w:div>
                      </w:divsChild>
                    </w:div>
                    <w:div w:id="1873299287">
                      <w:marLeft w:val="0"/>
                      <w:marRight w:val="0"/>
                      <w:marTop w:val="0"/>
                      <w:marBottom w:val="0"/>
                      <w:divBdr>
                        <w:top w:val="none" w:sz="0" w:space="0" w:color="auto"/>
                        <w:left w:val="none" w:sz="0" w:space="0" w:color="auto"/>
                        <w:bottom w:val="none" w:sz="0" w:space="0" w:color="auto"/>
                        <w:right w:val="none" w:sz="0" w:space="0" w:color="auto"/>
                      </w:divBdr>
                      <w:divsChild>
                        <w:div w:id="269969358">
                          <w:marLeft w:val="0"/>
                          <w:marRight w:val="0"/>
                          <w:marTop w:val="0"/>
                          <w:marBottom w:val="0"/>
                          <w:divBdr>
                            <w:top w:val="none" w:sz="0" w:space="0" w:color="auto"/>
                            <w:left w:val="none" w:sz="0" w:space="0" w:color="auto"/>
                            <w:bottom w:val="none" w:sz="0" w:space="0" w:color="auto"/>
                            <w:right w:val="none" w:sz="0" w:space="0" w:color="auto"/>
                          </w:divBdr>
                        </w:div>
                      </w:divsChild>
                    </w:div>
                    <w:div w:id="1386949054">
                      <w:marLeft w:val="0"/>
                      <w:marRight w:val="0"/>
                      <w:marTop w:val="0"/>
                      <w:marBottom w:val="0"/>
                      <w:divBdr>
                        <w:top w:val="none" w:sz="0" w:space="0" w:color="auto"/>
                        <w:left w:val="none" w:sz="0" w:space="0" w:color="auto"/>
                        <w:bottom w:val="none" w:sz="0" w:space="0" w:color="auto"/>
                        <w:right w:val="none" w:sz="0" w:space="0" w:color="auto"/>
                      </w:divBdr>
                      <w:divsChild>
                        <w:div w:id="1746151279">
                          <w:marLeft w:val="0"/>
                          <w:marRight w:val="0"/>
                          <w:marTop w:val="0"/>
                          <w:marBottom w:val="0"/>
                          <w:divBdr>
                            <w:top w:val="none" w:sz="0" w:space="0" w:color="auto"/>
                            <w:left w:val="none" w:sz="0" w:space="0" w:color="auto"/>
                            <w:bottom w:val="none" w:sz="0" w:space="0" w:color="auto"/>
                            <w:right w:val="none" w:sz="0" w:space="0" w:color="auto"/>
                          </w:divBdr>
                        </w:div>
                      </w:divsChild>
                    </w:div>
                    <w:div w:id="1450316031">
                      <w:marLeft w:val="0"/>
                      <w:marRight w:val="0"/>
                      <w:marTop w:val="0"/>
                      <w:marBottom w:val="0"/>
                      <w:divBdr>
                        <w:top w:val="none" w:sz="0" w:space="0" w:color="auto"/>
                        <w:left w:val="none" w:sz="0" w:space="0" w:color="auto"/>
                        <w:bottom w:val="none" w:sz="0" w:space="0" w:color="auto"/>
                        <w:right w:val="none" w:sz="0" w:space="0" w:color="auto"/>
                      </w:divBdr>
                      <w:divsChild>
                        <w:div w:id="1756782851">
                          <w:marLeft w:val="0"/>
                          <w:marRight w:val="0"/>
                          <w:marTop w:val="0"/>
                          <w:marBottom w:val="0"/>
                          <w:divBdr>
                            <w:top w:val="none" w:sz="0" w:space="0" w:color="auto"/>
                            <w:left w:val="none" w:sz="0" w:space="0" w:color="auto"/>
                            <w:bottom w:val="none" w:sz="0" w:space="0" w:color="auto"/>
                            <w:right w:val="none" w:sz="0" w:space="0" w:color="auto"/>
                          </w:divBdr>
                        </w:div>
                      </w:divsChild>
                    </w:div>
                    <w:div w:id="1226528277">
                      <w:marLeft w:val="0"/>
                      <w:marRight w:val="0"/>
                      <w:marTop w:val="0"/>
                      <w:marBottom w:val="0"/>
                      <w:divBdr>
                        <w:top w:val="none" w:sz="0" w:space="0" w:color="auto"/>
                        <w:left w:val="none" w:sz="0" w:space="0" w:color="auto"/>
                        <w:bottom w:val="none" w:sz="0" w:space="0" w:color="auto"/>
                        <w:right w:val="none" w:sz="0" w:space="0" w:color="auto"/>
                      </w:divBdr>
                      <w:divsChild>
                        <w:div w:id="422842584">
                          <w:marLeft w:val="0"/>
                          <w:marRight w:val="0"/>
                          <w:marTop w:val="0"/>
                          <w:marBottom w:val="0"/>
                          <w:divBdr>
                            <w:top w:val="none" w:sz="0" w:space="0" w:color="auto"/>
                            <w:left w:val="none" w:sz="0" w:space="0" w:color="auto"/>
                            <w:bottom w:val="none" w:sz="0" w:space="0" w:color="auto"/>
                            <w:right w:val="none" w:sz="0" w:space="0" w:color="auto"/>
                          </w:divBdr>
                        </w:div>
                      </w:divsChild>
                    </w:div>
                    <w:div w:id="40903248">
                      <w:marLeft w:val="0"/>
                      <w:marRight w:val="0"/>
                      <w:marTop w:val="0"/>
                      <w:marBottom w:val="0"/>
                      <w:divBdr>
                        <w:top w:val="none" w:sz="0" w:space="0" w:color="auto"/>
                        <w:left w:val="none" w:sz="0" w:space="0" w:color="auto"/>
                        <w:bottom w:val="none" w:sz="0" w:space="0" w:color="auto"/>
                        <w:right w:val="none" w:sz="0" w:space="0" w:color="auto"/>
                      </w:divBdr>
                      <w:divsChild>
                        <w:div w:id="2072996758">
                          <w:marLeft w:val="0"/>
                          <w:marRight w:val="0"/>
                          <w:marTop w:val="0"/>
                          <w:marBottom w:val="0"/>
                          <w:divBdr>
                            <w:top w:val="none" w:sz="0" w:space="0" w:color="auto"/>
                            <w:left w:val="none" w:sz="0" w:space="0" w:color="auto"/>
                            <w:bottom w:val="none" w:sz="0" w:space="0" w:color="auto"/>
                            <w:right w:val="none" w:sz="0" w:space="0" w:color="auto"/>
                          </w:divBdr>
                        </w:div>
                      </w:divsChild>
                    </w:div>
                    <w:div w:id="461459799">
                      <w:marLeft w:val="0"/>
                      <w:marRight w:val="0"/>
                      <w:marTop w:val="0"/>
                      <w:marBottom w:val="0"/>
                      <w:divBdr>
                        <w:top w:val="none" w:sz="0" w:space="0" w:color="auto"/>
                        <w:left w:val="none" w:sz="0" w:space="0" w:color="auto"/>
                        <w:bottom w:val="none" w:sz="0" w:space="0" w:color="auto"/>
                        <w:right w:val="none" w:sz="0" w:space="0" w:color="auto"/>
                      </w:divBdr>
                      <w:divsChild>
                        <w:div w:id="1619755004">
                          <w:marLeft w:val="0"/>
                          <w:marRight w:val="0"/>
                          <w:marTop w:val="0"/>
                          <w:marBottom w:val="0"/>
                          <w:divBdr>
                            <w:top w:val="none" w:sz="0" w:space="0" w:color="auto"/>
                            <w:left w:val="none" w:sz="0" w:space="0" w:color="auto"/>
                            <w:bottom w:val="none" w:sz="0" w:space="0" w:color="auto"/>
                            <w:right w:val="none" w:sz="0" w:space="0" w:color="auto"/>
                          </w:divBdr>
                        </w:div>
                      </w:divsChild>
                    </w:div>
                    <w:div w:id="775902780">
                      <w:marLeft w:val="0"/>
                      <w:marRight w:val="0"/>
                      <w:marTop w:val="0"/>
                      <w:marBottom w:val="0"/>
                      <w:divBdr>
                        <w:top w:val="none" w:sz="0" w:space="0" w:color="auto"/>
                        <w:left w:val="none" w:sz="0" w:space="0" w:color="auto"/>
                        <w:bottom w:val="none" w:sz="0" w:space="0" w:color="auto"/>
                        <w:right w:val="none" w:sz="0" w:space="0" w:color="auto"/>
                      </w:divBdr>
                      <w:divsChild>
                        <w:div w:id="607129802">
                          <w:marLeft w:val="0"/>
                          <w:marRight w:val="0"/>
                          <w:marTop w:val="0"/>
                          <w:marBottom w:val="0"/>
                          <w:divBdr>
                            <w:top w:val="none" w:sz="0" w:space="0" w:color="auto"/>
                            <w:left w:val="none" w:sz="0" w:space="0" w:color="auto"/>
                            <w:bottom w:val="none" w:sz="0" w:space="0" w:color="auto"/>
                            <w:right w:val="none" w:sz="0" w:space="0" w:color="auto"/>
                          </w:divBdr>
                        </w:div>
                      </w:divsChild>
                    </w:div>
                    <w:div w:id="2130316920">
                      <w:marLeft w:val="0"/>
                      <w:marRight w:val="0"/>
                      <w:marTop w:val="0"/>
                      <w:marBottom w:val="0"/>
                      <w:divBdr>
                        <w:top w:val="none" w:sz="0" w:space="0" w:color="auto"/>
                        <w:left w:val="none" w:sz="0" w:space="0" w:color="auto"/>
                        <w:bottom w:val="none" w:sz="0" w:space="0" w:color="auto"/>
                        <w:right w:val="none" w:sz="0" w:space="0" w:color="auto"/>
                      </w:divBdr>
                      <w:divsChild>
                        <w:div w:id="1863744817">
                          <w:marLeft w:val="0"/>
                          <w:marRight w:val="0"/>
                          <w:marTop w:val="0"/>
                          <w:marBottom w:val="0"/>
                          <w:divBdr>
                            <w:top w:val="none" w:sz="0" w:space="0" w:color="auto"/>
                            <w:left w:val="none" w:sz="0" w:space="0" w:color="auto"/>
                            <w:bottom w:val="none" w:sz="0" w:space="0" w:color="auto"/>
                            <w:right w:val="none" w:sz="0" w:space="0" w:color="auto"/>
                          </w:divBdr>
                        </w:div>
                      </w:divsChild>
                    </w:div>
                    <w:div w:id="229851710">
                      <w:marLeft w:val="0"/>
                      <w:marRight w:val="0"/>
                      <w:marTop w:val="0"/>
                      <w:marBottom w:val="0"/>
                      <w:divBdr>
                        <w:top w:val="none" w:sz="0" w:space="0" w:color="auto"/>
                        <w:left w:val="none" w:sz="0" w:space="0" w:color="auto"/>
                        <w:bottom w:val="none" w:sz="0" w:space="0" w:color="auto"/>
                        <w:right w:val="none" w:sz="0" w:space="0" w:color="auto"/>
                      </w:divBdr>
                      <w:divsChild>
                        <w:div w:id="592518557">
                          <w:marLeft w:val="0"/>
                          <w:marRight w:val="0"/>
                          <w:marTop w:val="0"/>
                          <w:marBottom w:val="0"/>
                          <w:divBdr>
                            <w:top w:val="none" w:sz="0" w:space="0" w:color="auto"/>
                            <w:left w:val="none" w:sz="0" w:space="0" w:color="auto"/>
                            <w:bottom w:val="none" w:sz="0" w:space="0" w:color="auto"/>
                            <w:right w:val="none" w:sz="0" w:space="0" w:color="auto"/>
                          </w:divBdr>
                        </w:div>
                      </w:divsChild>
                    </w:div>
                    <w:div w:id="252277814">
                      <w:marLeft w:val="0"/>
                      <w:marRight w:val="0"/>
                      <w:marTop w:val="0"/>
                      <w:marBottom w:val="0"/>
                      <w:divBdr>
                        <w:top w:val="none" w:sz="0" w:space="0" w:color="auto"/>
                        <w:left w:val="none" w:sz="0" w:space="0" w:color="auto"/>
                        <w:bottom w:val="none" w:sz="0" w:space="0" w:color="auto"/>
                        <w:right w:val="none" w:sz="0" w:space="0" w:color="auto"/>
                      </w:divBdr>
                      <w:divsChild>
                        <w:div w:id="1316104809">
                          <w:marLeft w:val="0"/>
                          <w:marRight w:val="0"/>
                          <w:marTop w:val="0"/>
                          <w:marBottom w:val="0"/>
                          <w:divBdr>
                            <w:top w:val="none" w:sz="0" w:space="0" w:color="auto"/>
                            <w:left w:val="none" w:sz="0" w:space="0" w:color="auto"/>
                            <w:bottom w:val="none" w:sz="0" w:space="0" w:color="auto"/>
                            <w:right w:val="none" w:sz="0" w:space="0" w:color="auto"/>
                          </w:divBdr>
                        </w:div>
                      </w:divsChild>
                    </w:div>
                    <w:div w:id="2110733790">
                      <w:marLeft w:val="0"/>
                      <w:marRight w:val="0"/>
                      <w:marTop w:val="0"/>
                      <w:marBottom w:val="0"/>
                      <w:divBdr>
                        <w:top w:val="none" w:sz="0" w:space="0" w:color="auto"/>
                        <w:left w:val="none" w:sz="0" w:space="0" w:color="auto"/>
                        <w:bottom w:val="none" w:sz="0" w:space="0" w:color="auto"/>
                        <w:right w:val="none" w:sz="0" w:space="0" w:color="auto"/>
                      </w:divBdr>
                      <w:divsChild>
                        <w:div w:id="1677145749">
                          <w:marLeft w:val="0"/>
                          <w:marRight w:val="0"/>
                          <w:marTop w:val="0"/>
                          <w:marBottom w:val="0"/>
                          <w:divBdr>
                            <w:top w:val="none" w:sz="0" w:space="0" w:color="auto"/>
                            <w:left w:val="none" w:sz="0" w:space="0" w:color="auto"/>
                            <w:bottom w:val="none" w:sz="0" w:space="0" w:color="auto"/>
                            <w:right w:val="none" w:sz="0" w:space="0" w:color="auto"/>
                          </w:divBdr>
                        </w:div>
                      </w:divsChild>
                    </w:div>
                    <w:div w:id="622082789">
                      <w:marLeft w:val="0"/>
                      <w:marRight w:val="0"/>
                      <w:marTop w:val="0"/>
                      <w:marBottom w:val="0"/>
                      <w:divBdr>
                        <w:top w:val="none" w:sz="0" w:space="0" w:color="auto"/>
                        <w:left w:val="none" w:sz="0" w:space="0" w:color="auto"/>
                        <w:bottom w:val="none" w:sz="0" w:space="0" w:color="auto"/>
                        <w:right w:val="none" w:sz="0" w:space="0" w:color="auto"/>
                      </w:divBdr>
                      <w:divsChild>
                        <w:div w:id="89397731">
                          <w:marLeft w:val="0"/>
                          <w:marRight w:val="0"/>
                          <w:marTop w:val="0"/>
                          <w:marBottom w:val="0"/>
                          <w:divBdr>
                            <w:top w:val="none" w:sz="0" w:space="0" w:color="auto"/>
                            <w:left w:val="none" w:sz="0" w:space="0" w:color="auto"/>
                            <w:bottom w:val="none" w:sz="0" w:space="0" w:color="auto"/>
                            <w:right w:val="none" w:sz="0" w:space="0" w:color="auto"/>
                          </w:divBdr>
                        </w:div>
                      </w:divsChild>
                    </w:div>
                    <w:div w:id="1976180105">
                      <w:marLeft w:val="0"/>
                      <w:marRight w:val="0"/>
                      <w:marTop w:val="0"/>
                      <w:marBottom w:val="0"/>
                      <w:divBdr>
                        <w:top w:val="none" w:sz="0" w:space="0" w:color="auto"/>
                        <w:left w:val="none" w:sz="0" w:space="0" w:color="auto"/>
                        <w:bottom w:val="none" w:sz="0" w:space="0" w:color="auto"/>
                        <w:right w:val="none" w:sz="0" w:space="0" w:color="auto"/>
                      </w:divBdr>
                      <w:divsChild>
                        <w:div w:id="2025160072">
                          <w:marLeft w:val="0"/>
                          <w:marRight w:val="0"/>
                          <w:marTop w:val="0"/>
                          <w:marBottom w:val="0"/>
                          <w:divBdr>
                            <w:top w:val="none" w:sz="0" w:space="0" w:color="auto"/>
                            <w:left w:val="none" w:sz="0" w:space="0" w:color="auto"/>
                            <w:bottom w:val="none" w:sz="0" w:space="0" w:color="auto"/>
                            <w:right w:val="none" w:sz="0" w:space="0" w:color="auto"/>
                          </w:divBdr>
                        </w:div>
                      </w:divsChild>
                    </w:div>
                    <w:div w:id="114301724">
                      <w:marLeft w:val="0"/>
                      <w:marRight w:val="0"/>
                      <w:marTop w:val="0"/>
                      <w:marBottom w:val="0"/>
                      <w:divBdr>
                        <w:top w:val="none" w:sz="0" w:space="0" w:color="auto"/>
                        <w:left w:val="none" w:sz="0" w:space="0" w:color="auto"/>
                        <w:bottom w:val="none" w:sz="0" w:space="0" w:color="auto"/>
                        <w:right w:val="none" w:sz="0" w:space="0" w:color="auto"/>
                      </w:divBdr>
                      <w:divsChild>
                        <w:div w:id="749808917">
                          <w:marLeft w:val="0"/>
                          <w:marRight w:val="0"/>
                          <w:marTop w:val="0"/>
                          <w:marBottom w:val="0"/>
                          <w:divBdr>
                            <w:top w:val="none" w:sz="0" w:space="0" w:color="auto"/>
                            <w:left w:val="none" w:sz="0" w:space="0" w:color="auto"/>
                            <w:bottom w:val="none" w:sz="0" w:space="0" w:color="auto"/>
                            <w:right w:val="none" w:sz="0" w:space="0" w:color="auto"/>
                          </w:divBdr>
                        </w:div>
                      </w:divsChild>
                    </w:div>
                    <w:div w:id="425348321">
                      <w:marLeft w:val="0"/>
                      <w:marRight w:val="0"/>
                      <w:marTop w:val="0"/>
                      <w:marBottom w:val="0"/>
                      <w:divBdr>
                        <w:top w:val="none" w:sz="0" w:space="0" w:color="auto"/>
                        <w:left w:val="none" w:sz="0" w:space="0" w:color="auto"/>
                        <w:bottom w:val="none" w:sz="0" w:space="0" w:color="auto"/>
                        <w:right w:val="none" w:sz="0" w:space="0" w:color="auto"/>
                      </w:divBdr>
                      <w:divsChild>
                        <w:div w:id="272902367">
                          <w:marLeft w:val="0"/>
                          <w:marRight w:val="0"/>
                          <w:marTop w:val="0"/>
                          <w:marBottom w:val="0"/>
                          <w:divBdr>
                            <w:top w:val="none" w:sz="0" w:space="0" w:color="auto"/>
                            <w:left w:val="none" w:sz="0" w:space="0" w:color="auto"/>
                            <w:bottom w:val="none" w:sz="0" w:space="0" w:color="auto"/>
                            <w:right w:val="none" w:sz="0" w:space="0" w:color="auto"/>
                          </w:divBdr>
                        </w:div>
                      </w:divsChild>
                    </w:div>
                    <w:div w:id="2133471765">
                      <w:marLeft w:val="0"/>
                      <w:marRight w:val="0"/>
                      <w:marTop w:val="0"/>
                      <w:marBottom w:val="0"/>
                      <w:divBdr>
                        <w:top w:val="none" w:sz="0" w:space="0" w:color="auto"/>
                        <w:left w:val="none" w:sz="0" w:space="0" w:color="auto"/>
                        <w:bottom w:val="none" w:sz="0" w:space="0" w:color="auto"/>
                        <w:right w:val="none" w:sz="0" w:space="0" w:color="auto"/>
                      </w:divBdr>
                      <w:divsChild>
                        <w:div w:id="1724018135">
                          <w:marLeft w:val="0"/>
                          <w:marRight w:val="0"/>
                          <w:marTop w:val="0"/>
                          <w:marBottom w:val="0"/>
                          <w:divBdr>
                            <w:top w:val="none" w:sz="0" w:space="0" w:color="auto"/>
                            <w:left w:val="none" w:sz="0" w:space="0" w:color="auto"/>
                            <w:bottom w:val="none" w:sz="0" w:space="0" w:color="auto"/>
                            <w:right w:val="none" w:sz="0" w:space="0" w:color="auto"/>
                          </w:divBdr>
                        </w:div>
                      </w:divsChild>
                    </w:div>
                    <w:div w:id="1034110013">
                      <w:marLeft w:val="0"/>
                      <w:marRight w:val="0"/>
                      <w:marTop w:val="0"/>
                      <w:marBottom w:val="0"/>
                      <w:divBdr>
                        <w:top w:val="none" w:sz="0" w:space="0" w:color="auto"/>
                        <w:left w:val="none" w:sz="0" w:space="0" w:color="auto"/>
                        <w:bottom w:val="none" w:sz="0" w:space="0" w:color="auto"/>
                        <w:right w:val="none" w:sz="0" w:space="0" w:color="auto"/>
                      </w:divBdr>
                      <w:divsChild>
                        <w:div w:id="2005627220">
                          <w:marLeft w:val="0"/>
                          <w:marRight w:val="0"/>
                          <w:marTop w:val="0"/>
                          <w:marBottom w:val="0"/>
                          <w:divBdr>
                            <w:top w:val="none" w:sz="0" w:space="0" w:color="auto"/>
                            <w:left w:val="none" w:sz="0" w:space="0" w:color="auto"/>
                            <w:bottom w:val="none" w:sz="0" w:space="0" w:color="auto"/>
                            <w:right w:val="none" w:sz="0" w:space="0" w:color="auto"/>
                          </w:divBdr>
                        </w:div>
                      </w:divsChild>
                    </w:div>
                    <w:div w:id="1474638234">
                      <w:marLeft w:val="0"/>
                      <w:marRight w:val="0"/>
                      <w:marTop w:val="0"/>
                      <w:marBottom w:val="0"/>
                      <w:divBdr>
                        <w:top w:val="none" w:sz="0" w:space="0" w:color="auto"/>
                        <w:left w:val="none" w:sz="0" w:space="0" w:color="auto"/>
                        <w:bottom w:val="none" w:sz="0" w:space="0" w:color="auto"/>
                        <w:right w:val="none" w:sz="0" w:space="0" w:color="auto"/>
                      </w:divBdr>
                      <w:divsChild>
                        <w:div w:id="1640964060">
                          <w:marLeft w:val="0"/>
                          <w:marRight w:val="0"/>
                          <w:marTop w:val="0"/>
                          <w:marBottom w:val="0"/>
                          <w:divBdr>
                            <w:top w:val="none" w:sz="0" w:space="0" w:color="auto"/>
                            <w:left w:val="none" w:sz="0" w:space="0" w:color="auto"/>
                            <w:bottom w:val="none" w:sz="0" w:space="0" w:color="auto"/>
                            <w:right w:val="none" w:sz="0" w:space="0" w:color="auto"/>
                          </w:divBdr>
                        </w:div>
                      </w:divsChild>
                    </w:div>
                    <w:div w:id="1196574397">
                      <w:marLeft w:val="0"/>
                      <w:marRight w:val="0"/>
                      <w:marTop w:val="0"/>
                      <w:marBottom w:val="0"/>
                      <w:divBdr>
                        <w:top w:val="none" w:sz="0" w:space="0" w:color="auto"/>
                        <w:left w:val="none" w:sz="0" w:space="0" w:color="auto"/>
                        <w:bottom w:val="none" w:sz="0" w:space="0" w:color="auto"/>
                        <w:right w:val="none" w:sz="0" w:space="0" w:color="auto"/>
                      </w:divBdr>
                      <w:divsChild>
                        <w:div w:id="1689285665">
                          <w:marLeft w:val="0"/>
                          <w:marRight w:val="0"/>
                          <w:marTop w:val="0"/>
                          <w:marBottom w:val="0"/>
                          <w:divBdr>
                            <w:top w:val="none" w:sz="0" w:space="0" w:color="auto"/>
                            <w:left w:val="none" w:sz="0" w:space="0" w:color="auto"/>
                            <w:bottom w:val="none" w:sz="0" w:space="0" w:color="auto"/>
                            <w:right w:val="none" w:sz="0" w:space="0" w:color="auto"/>
                          </w:divBdr>
                        </w:div>
                      </w:divsChild>
                    </w:div>
                    <w:div w:id="766198111">
                      <w:marLeft w:val="0"/>
                      <w:marRight w:val="0"/>
                      <w:marTop w:val="0"/>
                      <w:marBottom w:val="0"/>
                      <w:divBdr>
                        <w:top w:val="none" w:sz="0" w:space="0" w:color="auto"/>
                        <w:left w:val="none" w:sz="0" w:space="0" w:color="auto"/>
                        <w:bottom w:val="none" w:sz="0" w:space="0" w:color="auto"/>
                        <w:right w:val="none" w:sz="0" w:space="0" w:color="auto"/>
                      </w:divBdr>
                      <w:divsChild>
                        <w:div w:id="1461612499">
                          <w:marLeft w:val="0"/>
                          <w:marRight w:val="0"/>
                          <w:marTop w:val="0"/>
                          <w:marBottom w:val="0"/>
                          <w:divBdr>
                            <w:top w:val="none" w:sz="0" w:space="0" w:color="auto"/>
                            <w:left w:val="none" w:sz="0" w:space="0" w:color="auto"/>
                            <w:bottom w:val="none" w:sz="0" w:space="0" w:color="auto"/>
                            <w:right w:val="none" w:sz="0" w:space="0" w:color="auto"/>
                          </w:divBdr>
                        </w:div>
                      </w:divsChild>
                    </w:div>
                    <w:div w:id="817302289">
                      <w:marLeft w:val="0"/>
                      <w:marRight w:val="0"/>
                      <w:marTop w:val="0"/>
                      <w:marBottom w:val="0"/>
                      <w:divBdr>
                        <w:top w:val="none" w:sz="0" w:space="0" w:color="auto"/>
                        <w:left w:val="none" w:sz="0" w:space="0" w:color="auto"/>
                        <w:bottom w:val="none" w:sz="0" w:space="0" w:color="auto"/>
                        <w:right w:val="none" w:sz="0" w:space="0" w:color="auto"/>
                      </w:divBdr>
                      <w:divsChild>
                        <w:div w:id="181386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3066707">
      <w:bodyDiv w:val="1"/>
      <w:marLeft w:val="0"/>
      <w:marRight w:val="0"/>
      <w:marTop w:val="0"/>
      <w:marBottom w:val="0"/>
      <w:divBdr>
        <w:top w:val="none" w:sz="0" w:space="0" w:color="auto"/>
        <w:left w:val="none" w:sz="0" w:space="0" w:color="auto"/>
        <w:bottom w:val="none" w:sz="0" w:space="0" w:color="auto"/>
        <w:right w:val="none" w:sz="0" w:space="0" w:color="auto"/>
      </w:divBdr>
      <w:divsChild>
        <w:div w:id="1332490730">
          <w:marLeft w:val="0"/>
          <w:marRight w:val="0"/>
          <w:marTop w:val="0"/>
          <w:marBottom w:val="300"/>
          <w:divBdr>
            <w:top w:val="none" w:sz="0" w:space="0" w:color="auto"/>
            <w:left w:val="none" w:sz="0" w:space="0" w:color="auto"/>
            <w:bottom w:val="single" w:sz="18" w:space="0" w:color="666666"/>
            <w:right w:val="none" w:sz="0" w:space="0" w:color="auto"/>
          </w:divBdr>
          <w:divsChild>
            <w:div w:id="1444610067">
              <w:marLeft w:val="0"/>
              <w:marRight w:val="0"/>
              <w:marTop w:val="0"/>
              <w:marBottom w:val="0"/>
              <w:divBdr>
                <w:top w:val="none" w:sz="0" w:space="0" w:color="auto"/>
                <w:left w:val="none" w:sz="0" w:space="0" w:color="auto"/>
                <w:bottom w:val="none" w:sz="0" w:space="0" w:color="auto"/>
                <w:right w:val="none" w:sz="0" w:space="0" w:color="auto"/>
              </w:divBdr>
              <w:divsChild>
                <w:div w:id="23019203">
                  <w:marLeft w:val="0"/>
                  <w:marRight w:val="0"/>
                  <w:marTop w:val="345"/>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vestmentterms.com/" TargetMode="External"/><Relationship Id="rId13" Type="http://schemas.openxmlformats.org/officeDocument/2006/relationships/hyperlink" Target="http://www.investmentterms.com/" TargetMode="External"/><Relationship Id="rId18" Type="http://schemas.openxmlformats.org/officeDocument/2006/relationships/hyperlink" Target="http://www.investmentterms.com/" TargetMode="External"/><Relationship Id="rId26" Type="http://schemas.openxmlformats.org/officeDocument/2006/relationships/hyperlink" Target="http://www.investmentterms.com/" TargetMode="External"/><Relationship Id="rId3" Type="http://schemas.openxmlformats.org/officeDocument/2006/relationships/webSettings" Target="webSettings.xml"/><Relationship Id="rId21" Type="http://schemas.openxmlformats.org/officeDocument/2006/relationships/hyperlink" Target="http://www.investmentterms.com/" TargetMode="External"/><Relationship Id="rId7" Type="http://schemas.openxmlformats.org/officeDocument/2006/relationships/hyperlink" Target="http://www.investmentterms.com/" TargetMode="External"/><Relationship Id="rId12" Type="http://schemas.openxmlformats.org/officeDocument/2006/relationships/hyperlink" Target="http://www.investmentterms.com/" TargetMode="External"/><Relationship Id="rId17" Type="http://schemas.openxmlformats.org/officeDocument/2006/relationships/hyperlink" Target="http://www.investmentterms.com/" TargetMode="External"/><Relationship Id="rId25" Type="http://schemas.openxmlformats.org/officeDocument/2006/relationships/hyperlink" Target="http://www.investmentterms.com/" TargetMode="External"/><Relationship Id="rId2" Type="http://schemas.openxmlformats.org/officeDocument/2006/relationships/settings" Target="settings.xml"/><Relationship Id="rId16" Type="http://schemas.openxmlformats.org/officeDocument/2006/relationships/hyperlink" Target="http://www.investmentterms.com/" TargetMode="External"/><Relationship Id="rId20" Type="http://schemas.openxmlformats.org/officeDocument/2006/relationships/hyperlink" Target="http://www.investmentterms.com/"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investmentterms.com/" TargetMode="External"/><Relationship Id="rId11" Type="http://schemas.openxmlformats.org/officeDocument/2006/relationships/hyperlink" Target="http://www.investmentterms.com/" TargetMode="External"/><Relationship Id="rId24" Type="http://schemas.openxmlformats.org/officeDocument/2006/relationships/hyperlink" Target="http://www.investmentterms.com/" TargetMode="External"/><Relationship Id="rId5" Type="http://schemas.openxmlformats.org/officeDocument/2006/relationships/hyperlink" Target="http://www.investmentterms.com/" TargetMode="External"/><Relationship Id="rId15" Type="http://schemas.openxmlformats.org/officeDocument/2006/relationships/hyperlink" Target="http://www.investmentterms.com/" TargetMode="External"/><Relationship Id="rId23" Type="http://schemas.openxmlformats.org/officeDocument/2006/relationships/hyperlink" Target="http://www.investmentterms.com/" TargetMode="External"/><Relationship Id="rId28" Type="http://schemas.openxmlformats.org/officeDocument/2006/relationships/fontTable" Target="fontTable.xml"/><Relationship Id="rId10" Type="http://schemas.openxmlformats.org/officeDocument/2006/relationships/hyperlink" Target="http://www.investmentterms.com/" TargetMode="External"/><Relationship Id="rId19" Type="http://schemas.openxmlformats.org/officeDocument/2006/relationships/hyperlink" Target="http://www.investmentterms.com/" TargetMode="External"/><Relationship Id="rId4" Type="http://schemas.openxmlformats.org/officeDocument/2006/relationships/hyperlink" Target="http://www.investmentterms.com/" TargetMode="External"/><Relationship Id="rId9" Type="http://schemas.openxmlformats.org/officeDocument/2006/relationships/hyperlink" Target="http://www.investmentterms.com/" TargetMode="External"/><Relationship Id="rId14" Type="http://schemas.openxmlformats.org/officeDocument/2006/relationships/hyperlink" Target="http://www.investmentterms.com/" TargetMode="External"/><Relationship Id="rId22" Type="http://schemas.openxmlformats.org/officeDocument/2006/relationships/hyperlink" Target="http://www.investmentterms.com/" TargetMode="External"/><Relationship Id="rId27" Type="http://schemas.openxmlformats.org/officeDocument/2006/relationships/hyperlink" Target="http://www.investmentte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993</Words>
  <Characters>5662</Characters>
  <Application>Microsoft Office Word</Application>
  <DocSecurity>0</DocSecurity>
  <Lines>47</Lines>
  <Paragraphs>13</Paragraphs>
  <ScaleCrop>false</ScaleCrop>
  <Company>l</Company>
  <LinksUpToDate>false</LinksUpToDate>
  <CharactersWithSpaces>6642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2013-03-27T17:14:00Z</dcterms:created>
  <dcterms:modified xsi:type="dcterms:W3CDTF">2013-03-27T17:14:00Z</dcterms:modified>
</cp:coreProperties>
</file>