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Ind w:w="-90" w:type="dxa"/>
        <w:tblCellMar>
          <w:left w:w="0" w:type="dxa"/>
          <w:right w:w="0" w:type="dxa"/>
        </w:tblCellMar>
        <w:tblLook w:val="04A0"/>
      </w:tblPr>
      <w:tblGrid>
        <w:gridCol w:w="90"/>
        <w:gridCol w:w="6669"/>
        <w:gridCol w:w="36"/>
      </w:tblGrid>
      <w:tr w:rsidR="00F6208A" w:rsidRPr="00F6208A" w:rsidTr="00F6208A">
        <w:trPr>
          <w:gridBefore w:val="1"/>
          <w:gridAfter w:val="1"/>
          <w:wBefore w:w="90" w:type="dxa"/>
          <w:tblCellSpacing w:w="0" w:type="dxa"/>
        </w:trPr>
        <w:tc>
          <w:tcPr>
            <w:tcW w:w="0" w:type="auto"/>
            <w:vAlign w:val="center"/>
            <w:hideMark/>
          </w:tcPr>
          <w:p w:rsidR="00F6208A" w:rsidRPr="00F6208A" w:rsidRDefault="00F6208A">
            <w:pPr>
              <w:jc w:val="center"/>
              <w:rPr>
                <w:rFonts w:ascii="Arial" w:hAnsi="Arial" w:cs="Arial"/>
                <w:b/>
                <w:sz w:val="32"/>
                <w:szCs w:val="32"/>
              </w:rPr>
            </w:pPr>
            <w:r w:rsidRPr="00F6208A">
              <w:rPr>
                <w:rFonts w:ascii="Arial" w:hAnsi="Arial" w:cs="Arial"/>
                <w:b/>
                <w:sz w:val="32"/>
                <w:szCs w:val="32"/>
              </w:rPr>
              <w:t>6 Largest Products Liability Insurance Suits</w:t>
            </w:r>
          </w:p>
        </w:tc>
      </w:tr>
      <w:tr w:rsidR="00F6208A" w:rsidTr="00F6208A">
        <w:tblPrEx>
          <w:tblCellSpacing w:w="15" w:type="dxa"/>
          <w:tblCellMar>
            <w:top w:w="15" w:type="dxa"/>
            <w:left w:w="15" w:type="dxa"/>
            <w:bottom w:w="15" w:type="dxa"/>
            <w:right w:w="15" w:type="dxa"/>
          </w:tblCellMar>
        </w:tblPrEx>
        <w:trPr>
          <w:tblCellSpacing w:w="15" w:type="dxa"/>
        </w:trPr>
        <w:tc>
          <w:tcPr>
            <w:tcW w:w="1111" w:type="dxa"/>
            <w:gridSpan w:val="2"/>
            <w:hideMark/>
          </w:tcPr>
          <w:p w:rsidR="00F6208A" w:rsidRDefault="00F6208A">
            <w:pPr>
              <w:rPr>
                <w:rFonts w:ascii="Arial" w:hAnsi="Arial" w:cs="Arial"/>
              </w:rPr>
            </w:pPr>
          </w:p>
        </w:tc>
        <w:tc>
          <w:tcPr>
            <w:tcW w:w="0" w:type="auto"/>
            <w:hideMark/>
          </w:tcPr>
          <w:p w:rsidR="00F6208A" w:rsidRDefault="00F6208A">
            <w:pPr>
              <w:rPr>
                <w:rFonts w:ascii="Arial" w:hAnsi="Arial" w:cs="Arial"/>
              </w:rPr>
            </w:pPr>
          </w:p>
        </w:tc>
      </w:tr>
    </w:tbl>
    <w:p w:rsidR="00F6208A" w:rsidRPr="00F6208A" w:rsidRDefault="00F6208A" w:rsidP="00F6208A">
      <w:pPr>
        <w:pStyle w:val="NormalWeb"/>
        <w:rPr>
          <w:rFonts w:ascii="Arial" w:hAnsi="Arial" w:cs="Arial"/>
        </w:rPr>
      </w:pPr>
      <w:r w:rsidRPr="00F6208A">
        <w:rPr>
          <w:rFonts w:ascii="Arial" w:hAnsi="Arial" w:cs="Arial"/>
          <w:color w:val="000000"/>
        </w:rPr>
        <w:t xml:space="preserve">However, from time to time, and lately more frequently, issues </w:t>
      </w:r>
      <w:proofErr w:type="gramStart"/>
      <w:r w:rsidRPr="00F6208A">
        <w:rPr>
          <w:rFonts w:ascii="Arial" w:hAnsi="Arial" w:cs="Arial"/>
          <w:color w:val="000000"/>
        </w:rPr>
        <w:t>arise</w:t>
      </w:r>
      <w:proofErr w:type="gramEnd"/>
      <w:r w:rsidRPr="00F6208A">
        <w:rPr>
          <w:rFonts w:ascii="Arial" w:hAnsi="Arial" w:cs="Arial"/>
          <w:color w:val="000000"/>
        </w:rPr>
        <w:t xml:space="preserve"> that cause damages, injury and even death. When they do lawsuits ensue. When several people get involved in the lawsuit, class action lawsuits ensue which have the potential to be catastrophic, often costing manufacturers or their insurance companies millions or even billions of </w:t>
      </w:r>
      <w:proofErr w:type="spellStart"/>
      <w:r w:rsidRPr="00F6208A">
        <w:rPr>
          <w:rFonts w:ascii="Arial" w:hAnsi="Arial" w:cs="Arial"/>
          <w:color w:val="000000"/>
        </w:rPr>
        <w:t>dollars.The</w:t>
      </w:r>
      <w:proofErr w:type="spellEnd"/>
      <w:r w:rsidRPr="00F6208A">
        <w:rPr>
          <w:rFonts w:ascii="Arial" w:hAnsi="Arial" w:cs="Arial"/>
          <w:color w:val="000000"/>
        </w:rPr>
        <w:t xml:space="preserve"> following are major instances of Product Liability Claims, and they include recalls. Ironically recalls are often excluded from Product Liability </w:t>
      </w:r>
      <w:hyperlink r:id="rId4" w:history="1">
        <w:r w:rsidRPr="00F6208A">
          <w:rPr>
            <w:rStyle w:val="itxtrst"/>
            <w:rFonts w:ascii="Arial" w:hAnsi="Arial" w:cs="Arial"/>
            <w:color w:val="006400"/>
            <w:u w:val="single"/>
          </w:rPr>
          <w:t>Insurance Policies</w:t>
        </w:r>
      </w:hyperlink>
      <w:r w:rsidRPr="00F6208A">
        <w:rPr>
          <w:rFonts w:ascii="Arial" w:hAnsi="Arial" w:cs="Arial"/>
          <w:color w:val="000000"/>
        </w:rPr>
        <w:t>. Aside from severe cases, product Liability Suits can strike small jewelry designers, toy manufactures, clothing designers &amp; manufacturers and to this day the thundering repercussions of paint manufacturing companies that used lead still echo through real estate owners looking for insurance. The following are the 6 of the largest Product Liability Suits, in order of smallest to largest by claim value adjusted for 2008 inflationary factors.</w:t>
      </w:r>
      <w:r w:rsidRPr="00F6208A">
        <w:rPr>
          <w:rFonts w:ascii="Arial" w:hAnsi="Arial" w:cs="Arial"/>
          <w:color w:val="000000"/>
        </w:rPr>
        <w:br/>
      </w:r>
      <w:r w:rsidRPr="00F6208A">
        <w:rPr>
          <w:rFonts w:ascii="Arial" w:hAnsi="Arial" w:cs="Arial"/>
          <w:color w:val="000000"/>
        </w:rPr>
        <w:br/>
        <w:t>Number 6 Product Liability Suit</w:t>
      </w:r>
      <w:r w:rsidRPr="00F6208A">
        <w:rPr>
          <w:rFonts w:ascii="Arial" w:hAnsi="Arial" w:cs="Arial"/>
          <w:color w:val="000000"/>
        </w:rPr>
        <w:br/>
        <w:t>February 2002</w:t>
      </w:r>
      <w:r w:rsidRPr="00F6208A">
        <w:rPr>
          <w:rFonts w:ascii="Arial" w:hAnsi="Arial" w:cs="Arial"/>
          <w:color w:val="000000"/>
        </w:rPr>
        <w:br/>
      </w:r>
      <w:hyperlink r:id="rId5" w:history="1">
        <w:r w:rsidRPr="00F6208A">
          <w:rPr>
            <w:rStyle w:val="itxtrst"/>
            <w:rFonts w:ascii="Arial" w:hAnsi="Arial" w:cs="Arial"/>
            <w:color w:val="006400"/>
            <w:u w:val="single"/>
          </w:rPr>
          <w:t>Ford</w:t>
        </w:r>
      </w:hyperlink>
      <w:r w:rsidRPr="00F6208A">
        <w:rPr>
          <w:rFonts w:ascii="Arial" w:hAnsi="Arial" w:cs="Arial"/>
          <w:color w:val="000000"/>
        </w:rPr>
        <w:t xml:space="preserve"> Motor Company Featuring Bridgestone Tires</w:t>
      </w:r>
      <w:r w:rsidRPr="00F6208A">
        <w:rPr>
          <w:rFonts w:ascii="Arial" w:hAnsi="Arial" w:cs="Arial"/>
          <w:color w:val="000000"/>
        </w:rPr>
        <w:br/>
        <w:t>Product Liability Suit - Faulty Tire Recall</w:t>
      </w:r>
      <w:r w:rsidRPr="00F6208A">
        <w:rPr>
          <w:rFonts w:ascii="Arial" w:hAnsi="Arial" w:cs="Arial"/>
          <w:color w:val="000000"/>
        </w:rPr>
        <w:br/>
        <w:t xml:space="preserve">Claim: Faulty Tires Causing Blow Outs, Roll </w:t>
      </w:r>
      <w:proofErr w:type="spellStart"/>
      <w:r w:rsidRPr="00F6208A">
        <w:rPr>
          <w:rFonts w:ascii="Arial" w:hAnsi="Arial" w:cs="Arial"/>
          <w:color w:val="000000"/>
        </w:rPr>
        <w:t>Overs</w:t>
      </w:r>
      <w:proofErr w:type="spellEnd"/>
      <w:r w:rsidRPr="00F6208A">
        <w:rPr>
          <w:rFonts w:ascii="Arial" w:hAnsi="Arial" w:cs="Arial"/>
          <w:color w:val="000000"/>
        </w:rPr>
        <w:t xml:space="preserve">, Injury &amp; Death by Having "Substantial Failure </w:t>
      </w:r>
      <w:hyperlink r:id="rId6" w:history="1">
        <w:r w:rsidRPr="00F6208A">
          <w:rPr>
            <w:rStyle w:val="itxtrst"/>
            <w:rFonts w:ascii="Arial" w:hAnsi="Arial" w:cs="Arial"/>
            <w:color w:val="006400"/>
            <w:u w:val="single"/>
          </w:rPr>
          <w:t>Risk</w:t>
        </w:r>
      </w:hyperlink>
      <w:r w:rsidRPr="00F6208A">
        <w:rPr>
          <w:rFonts w:ascii="Arial" w:hAnsi="Arial" w:cs="Arial"/>
          <w:color w:val="000000"/>
        </w:rPr>
        <w:t>"</w:t>
      </w:r>
      <w:r w:rsidRPr="00F6208A">
        <w:rPr>
          <w:rFonts w:ascii="Arial" w:hAnsi="Arial" w:cs="Arial"/>
          <w:color w:val="000000"/>
        </w:rPr>
        <w:br/>
        <w:t>Participants: 13.5 Million Vehicles</w:t>
      </w:r>
      <w:r w:rsidRPr="00F6208A">
        <w:rPr>
          <w:rFonts w:ascii="Arial" w:hAnsi="Arial" w:cs="Arial"/>
          <w:color w:val="000000"/>
        </w:rPr>
        <w:br/>
        <w:t>Individual Payment Range: $200 to $400</w:t>
      </w:r>
      <w:r w:rsidRPr="00F6208A">
        <w:rPr>
          <w:rFonts w:ascii="Arial" w:hAnsi="Arial" w:cs="Arial"/>
          <w:color w:val="000000"/>
        </w:rPr>
        <w:br/>
        <w:t>Claim Amount: Approx $1,100,000,000</w:t>
      </w:r>
      <w:r w:rsidRPr="00F6208A">
        <w:rPr>
          <w:rFonts w:ascii="Arial" w:hAnsi="Arial" w:cs="Arial"/>
          <w:color w:val="000000"/>
        </w:rPr>
        <w:br/>
        <w:t>Product Liability Cost adjusted for 2008: $1,285,400,000</w:t>
      </w:r>
      <w:r w:rsidRPr="00F6208A">
        <w:rPr>
          <w:rFonts w:ascii="Arial" w:hAnsi="Arial" w:cs="Arial"/>
          <w:color w:val="000000"/>
        </w:rPr>
        <w:br/>
      </w:r>
      <w:r w:rsidRPr="00F6208A">
        <w:rPr>
          <w:rFonts w:ascii="Arial" w:hAnsi="Arial" w:cs="Arial"/>
          <w:color w:val="000000"/>
        </w:rPr>
        <w:br/>
        <w:t>Number 5 Product Liability Suit</w:t>
      </w:r>
      <w:r w:rsidRPr="00F6208A">
        <w:rPr>
          <w:rFonts w:ascii="Arial" w:hAnsi="Arial" w:cs="Arial"/>
          <w:color w:val="000000"/>
        </w:rPr>
        <w:br/>
        <w:t>December 1998</w:t>
      </w:r>
      <w:r w:rsidRPr="00F6208A">
        <w:rPr>
          <w:rFonts w:ascii="Arial" w:hAnsi="Arial" w:cs="Arial"/>
          <w:color w:val="000000"/>
        </w:rPr>
        <w:br/>
        <w:t>Owens Corning</w:t>
      </w:r>
      <w:r w:rsidRPr="00F6208A">
        <w:rPr>
          <w:rFonts w:ascii="Arial" w:hAnsi="Arial" w:cs="Arial"/>
          <w:color w:val="000000"/>
        </w:rPr>
        <w:br/>
        <w:t>Product Liability Suit - Asbestos Building Materials</w:t>
      </w:r>
      <w:r w:rsidRPr="00F6208A">
        <w:rPr>
          <w:rFonts w:ascii="Arial" w:hAnsi="Arial" w:cs="Arial"/>
          <w:color w:val="000000"/>
        </w:rPr>
        <w:br/>
        <w:t xml:space="preserve">Claim: Asbestos Building Materials Causing </w:t>
      </w:r>
      <w:proofErr w:type="spellStart"/>
      <w:r w:rsidRPr="00F6208A">
        <w:rPr>
          <w:rFonts w:ascii="Arial" w:hAnsi="Arial" w:cs="Arial"/>
          <w:color w:val="000000"/>
        </w:rPr>
        <w:t>Mesothelioma</w:t>
      </w:r>
      <w:proofErr w:type="spellEnd"/>
      <w:r w:rsidRPr="00F6208A">
        <w:rPr>
          <w:rFonts w:ascii="Arial" w:hAnsi="Arial" w:cs="Arial"/>
          <w:color w:val="000000"/>
        </w:rPr>
        <w:t>, Cancer &amp; Death</w:t>
      </w:r>
      <w:r w:rsidRPr="00F6208A">
        <w:rPr>
          <w:rFonts w:ascii="Arial" w:hAnsi="Arial" w:cs="Arial"/>
          <w:color w:val="000000"/>
        </w:rPr>
        <w:br/>
        <w:t>Participants: 176,000 Individuals</w:t>
      </w:r>
      <w:r w:rsidRPr="00F6208A">
        <w:rPr>
          <w:rFonts w:ascii="Arial" w:hAnsi="Arial" w:cs="Arial"/>
          <w:color w:val="000000"/>
        </w:rPr>
        <w:br/>
        <w:t>Product Liability Claim Amount: $1,200,000,000 - 1.2 Billion Dollars</w:t>
      </w:r>
      <w:r w:rsidRPr="00F6208A">
        <w:rPr>
          <w:rFonts w:ascii="Arial" w:hAnsi="Arial" w:cs="Arial"/>
          <w:color w:val="000000"/>
        </w:rPr>
        <w:br/>
        <w:t xml:space="preserve">Product Liability Cost Adjusted for 2008: $1,548,400,000 </w:t>
      </w:r>
      <w:r w:rsidRPr="00F6208A">
        <w:rPr>
          <w:rFonts w:ascii="Arial" w:hAnsi="Arial" w:cs="Arial"/>
          <w:color w:val="000000"/>
        </w:rPr>
        <w:br/>
      </w:r>
      <w:r w:rsidRPr="00F6208A">
        <w:rPr>
          <w:rFonts w:ascii="Arial" w:hAnsi="Arial" w:cs="Arial"/>
          <w:color w:val="000000"/>
        </w:rPr>
        <w:br/>
        <w:t>Number 4 Product Liability Suit</w:t>
      </w:r>
      <w:r w:rsidRPr="00F6208A">
        <w:rPr>
          <w:rFonts w:ascii="Arial" w:hAnsi="Arial" w:cs="Arial"/>
          <w:color w:val="000000"/>
        </w:rPr>
        <w:br/>
        <w:t>May 1995</w:t>
      </w:r>
      <w:r w:rsidRPr="00F6208A">
        <w:rPr>
          <w:rFonts w:ascii="Arial" w:hAnsi="Arial" w:cs="Arial"/>
          <w:color w:val="000000"/>
        </w:rPr>
        <w:br/>
      </w:r>
      <w:hyperlink r:id="rId7" w:history="1">
        <w:r w:rsidRPr="00F6208A">
          <w:rPr>
            <w:rStyle w:val="itxtrst"/>
            <w:rFonts w:ascii="Arial" w:hAnsi="Arial" w:cs="Arial"/>
            <w:color w:val="006400"/>
            <w:u w:val="single"/>
          </w:rPr>
          <w:t>Dow Chemical</w:t>
        </w:r>
      </w:hyperlink>
      <w:r w:rsidRPr="00F6208A">
        <w:rPr>
          <w:rFonts w:ascii="Arial" w:hAnsi="Arial" w:cs="Arial"/>
          <w:color w:val="000000"/>
        </w:rPr>
        <w:br/>
        <w:t>Product Liability Suit - Silicone Breast Implants</w:t>
      </w:r>
      <w:r w:rsidRPr="00F6208A">
        <w:rPr>
          <w:rFonts w:ascii="Arial" w:hAnsi="Arial" w:cs="Arial"/>
          <w:color w:val="000000"/>
        </w:rPr>
        <w:br/>
        <w:t>Claim: Silicone Breast Implants Rupture Causing Injury, Bodily Damage, Scleroderma &amp; Death</w:t>
      </w:r>
      <w:r w:rsidRPr="00F6208A">
        <w:rPr>
          <w:rFonts w:ascii="Arial" w:hAnsi="Arial" w:cs="Arial"/>
          <w:color w:val="000000"/>
        </w:rPr>
        <w:br/>
        <w:t>Participants: 400,000+ Women</w:t>
      </w:r>
      <w:r w:rsidRPr="00F6208A">
        <w:rPr>
          <w:rFonts w:ascii="Arial" w:hAnsi="Arial" w:cs="Arial"/>
          <w:color w:val="000000"/>
        </w:rPr>
        <w:br/>
        <w:t>Individual Payment Range: $105,000 to $1,400,000</w:t>
      </w:r>
      <w:r w:rsidRPr="00F6208A">
        <w:rPr>
          <w:rFonts w:ascii="Arial" w:hAnsi="Arial" w:cs="Arial"/>
          <w:color w:val="000000"/>
        </w:rPr>
        <w:br/>
        <w:t>Claim Amount: $4,250,000,000 - 4.25 Billion Dollars</w:t>
      </w:r>
      <w:r w:rsidRPr="00F6208A">
        <w:rPr>
          <w:rFonts w:ascii="Arial" w:hAnsi="Arial" w:cs="Arial"/>
          <w:color w:val="000000"/>
        </w:rPr>
        <w:br/>
        <w:t xml:space="preserve">Product Liability Cost adjusted for 2008: $5,863,000,000 </w:t>
      </w:r>
      <w:r w:rsidRPr="00F6208A">
        <w:rPr>
          <w:rFonts w:ascii="Arial" w:hAnsi="Arial" w:cs="Arial"/>
          <w:color w:val="000000"/>
        </w:rPr>
        <w:br/>
      </w:r>
      <w:r w:rsidRPr="00F6208A">
        <w:rPr>
          <w:rFonts w:ascii="Arial" w:hAnsi="Arial" w:cs="Arial"/>
          <w:color w:val="000000"/>
        </w:rPr>
        <w:lastRenderedPageBreak/>
        <w:br/>
        <w:t>Number 3 Product Liability Suit</w:t>
      </w:r>
      <w:r w:rsidRPr="00F6208A">
        <w:rPr>
          <w:rFonts w:ascii="Arial" w:hAnsi="Arial" w:cs="Arial"/>
          <w:color w:val="000000"/>
        </w:rPr>
        <w:br/>
        <w:t>August 1999</w:t>
      </w:r>
      <w:r w:rsidRPr="00F6208A">
        <w:rPr>
          <w:rFonts w:ascii="Arial" w:hAnsi="Arial" w:cs="Arial"/>
          <w:color w:val="000000"/>
        </w:rPr>
        <w:br/>
        <w:t>General Motors Corp</w:t>
      </w:r>
      <w:r w:rsidRPr="00F6208A">
        <w:rPr>
          <w:rFonts w:ascii="Arial" w:hAnsi="Arial" w:cs="Arial"/>
          <w:color w:val="000000"/>
        </w:rPr>
        <w:br/>
        <w:t xml:space="preserve">Product Liability Suit - Faulty Gas Tank on the 1979 </w:t>
      </w:r>
      <w:hyperlink r:id="rId8" w:history="1">
        <w:r w:rsidRPr="00F6208A">
          <w:rPr>
            <w:rStyle w:val="itxtrst"/>
            <w:rFonts w:ascii="Arial" w:hAnsi="Arial" w:cs="Arial"/>
            <w:color w:val="006400"/>
            <w:u w:val="single"/>
          </w:rPr>
          <w:t>Chevrolet</w:t>
        </w:r>
      </w:hyperlink>
      <w:r w:rsidRPr="00F6208A">
        <w:rPr>
          <w:rFonts w:ascii="Arial" w:hAnsi="Arial" w:cs="Arial"/>
          <w:color w:val="000000"/>
        </w:rPr>
        <w:t xml:space="preserve"> Malibu</w:t>
      </w:r>
      <w:r w:rsidRPr="00F6208A">
        <w:rPr>
          <w:rFonts w:ascii="Arial" w:hAnsi="Arial" w:cs="Arial"/>
          <w:color w:val="000000"/>
        </w:rPr>
        <w:br/>
        <w:t>Claim: Faulty Gas Tank Caused Fatal Gas Tank Explosions</w:t>
      </w:r>
      <w:r w:rsidRPr="00F6208A">
        <w:rPr>
          <w:rFonts w:ascii="Arial" w:hAnsi="Arial" w:cs="Arial"/>
          <w:color w:val="000000"/>
        </w:rPr>
        <w:br/>
        <w:t>Product Liability Claim Amount: $4,900,000,000 - 4.9 Billion Dollars</w:t>
      </w:r>
      <w:r w:rsidRPr="00F6208A">
        <w:rPr>
          <w:rFonts w:ascii="Arial" w:hAnsi="Arial" w:cs="Arial"/>
          <w:color w:val="000000"/>
        </w:rPr>
        <w:br/>
        <w:t xml:space="preserve">Product Liability Cost adjusted for 2008: $6,183,000,000 </w:t>
      </w:r>
      <w:r w:rsidRPr="00F6208A">
        <w:rPr>
          <w:rFonts w:ascii="Arial" w:hAnsi="Arial" w:cs="Arial"/>
          <w:color w:val="000000"/>
        </w:rPr>
        <w:br/>
      </w:r>
      <w:r w:rsidRPr="00F6208A">
        <w:rPr>
          <w:rFonts w:ascii="Arial" w:hAnsi="Arial" w:cs="Arial"/>
          <w:color w:val="000000"/>
        </w:rPr>
        <w:br/>
        <w:t>Number 2 Product Liability Suit</w:t>
      </w:r>
      <w:r w:rsidRPr="00F6208A">
        <w:rPr>
          <w:rFonts w:ascii="Arial" w:hAnsi="Arial" w:cs="Arial"/>
          <w:color w:val="000000"/>
        </w:rPr>
        <w:br/>
        <w:t>March 2008</w:t>
      </w:r>
      <w:r w:rsidRPr="00F6208A">
        <w:rPr>
          <w:rFonts w:ascii="Arial" w:hAnsi="Arial" w:cs="Arial"/>
          <w:color w:val="000000"/>
        </w:rPr>
        <w:br/>
        <w:t>General Motors Corp (Again)</w:t>
      </w:r>
      <w:r w:rsidRPr="00F6208A">
        <w:rPr>
          <w:rFonts w:ascii="Arial" w:hAnsi="Arial" w:cs="Arial"/>
          <w:color w:val="000000"/>
        </w:rPr>
        <w:br/>
        <w:t>Product Liability Suit - Faulty Chemical Use - Recall</w:t>
      </w:r>
      <w:r w:rsidRPr="00F6208A">
        <w:rPr>
          <w:rFonts w:ascii="Arial" w:hAnsi="Arial" w:cs="Arial"/>
          <w:color w:val="000000"/>
        </w:rPr>
        <w:br/>
        <w:t xml:space="preserve">Claim: </w:t>
      </w:r>
      <w:proofErr w:type="spellStart"/>
      <w:r w:rsidRPr="00F6208A">
        <w:rPr>
          <w:rFonts w:ascii="Arial" w:hAnsi="Arial" w:cs="Arial"/>
          <w:color w:val="000000"/>
        </w:rPr>
        <w:t>Dex</w:t>
      </w:r>
      <w:proofErr w:type="spellEnd"/>
      <w:r w:rsidRPr="00F6208A">
        <w:rPr>
          <w:rFonts w:ascii="Arial" w:hAnsi="Arial" w:cs="Arial"/>
          <w:color w:val="000000"/>
        </w:rPr>
        <w:t>-Cool Coolant Causing Leaks &amp; Engine Damage</w:t>
      </w:r>
      <w:r w:rsidRPr="00F6208A">
        <w:rPr>
          <w:rFonts w:ascii="Arial" w:hAnsi="Arial" w:cs="Arial"/>
          <w:color w:val="000000"/>
        </w:rPr>
        <w:br/>
        <w:t>Participants: 35,000,000 GM Customers</w:t>
      </w:r>
      <w:r w:rsidRPr="00F6208A">
        <w:rPr>
          <w:rFonts w:ascii="Arial" w:hAnsi="Arial" w:cs="Arial"/>
          <w:color w:val="000000"/>
        </w:rPr>
        <w:br/>
        <w:t>Individual Payment Range: $400 to $800</w:t>
      </w:r>
      <w:r w:rsidRPr="00F6208A">
        <w:rPr>
          <w:rFonts w:ascii="Arial" w:hAnsi="Arial" w:cs="Arial"/>
          <w:color w:val="000000"/>
        </w:rPr>
        <w:br/>
        <w:t>Product Liability Claim Amount: approx $20,000,000,000 - 20 Billion Dollars</w:t>
      </w:r>
      <w:r w:rsidRPr="00F6208A">
        <w:rPr>
          <w:rFonts w:ascii="Arial" w:hAnsi="Arial" w:cs="Arial"/>
          <w:color w:val="000000"/>
        </w:rPr>
        <w:br/>
        <w:t>Product Liability Cost adjusted for 2008: $20,000,000,000</w:t>
      </w:r>
      <w:r w:rsidRPr="00F6208A">
        <w:rPr>
          <w:rFonts w:ascii="Arial" w:hAnsi="Arial" w:cs="Arial"/>
          <w:color w:val="000000"/>
        </w:rPr>
        <w:br/>
      </w:r>
      <w:r w:rsidRPr="00F6208A">
        <w:rPr>
          <w:rFonts w:ascii="Arial" w:hAnsi="Arial" w:cs="Arial"/>
          <w:color w:val="000000"/>
        </w:rPr>
        <w:br/>
        <w:t>Number 1 Product Liability Suit</w:t>
      </w:r>
      <w:r w:rsidRPr="00F6208A">
        <w:rPr>
          <w:rFonts w:ascii="Arial" w:hAnsi="Arial" w:cs="Arial"/>
          <w:color w:val="000000"/>
        </w:rPr>
        <w:br/>
        <w:t>December 2002</w:t>
      </w:r>
      <w:r w:rsidRPr="00F6208A">
        <w:rPr>
          <w:rFonts w:ascii="Arial" w:hAnsi="Arial" w:cs="Arial"/>
          <w:color w:val="000000"/>
        </w:rPr>
        <w:br/>
      </w:r>
      <w:hyperlink r:id="rId9" w:history="1">
        <w:r w:rsidRPr="00F6208A">
          <w:rPr>
            <w:rStyle w:val="itxtrst"/>
            <w:rFonts w:ascii="Arial" w:hAnsi="Arial" w:cs="Arial"/>
            <w:color w:val="006400"/>
            <w:u w:val="single"/>
          </w:rPr>
          <w:t>Philip Morris</w:t>
        </w:r>
      </w:hyperlink>
      <w:r w:rsidRPr="00F6208A">
        <w:rPr>
          <w:rFonts w:ascii="Arial" w:hAnsi="Arial" w:cs="Arial"/>
          <w:color w:val="000000"/>
        </w:rPr>
        <w:br/>
        <w:t>Product Liability Suit - Tobacco Products</w:t>
      </w:r>
      <w:r w:rsidRPr="00F6208A">
        <w:rPr>
          <w:rFonts w:ascii="Arial" w:hAnsi="Arial" w:cs="Arial"/>
          <w:color w:val="000000"/>
        </w:rPr>
        <w:br/>
        <w:t>Claim: Smoking Sickens &amp; Kills People</w:t>
      </w:r>
      <w:r w:rsidRPr="00F6208A">
        <w:rPr>
          <w:rFonts w:ascii="Arial" w:hAnsi="Arial" w:cs="Arial"/>
          <w:color w:val="000000"/>
        </w:rPr>
        <w:br/>
        <w:t>Product Liability Claim Amount: $28,000,000,000 - 28 Billion Dollars.</w:t>
      </w:r>
      <w:r w:rsidRPr="00F6208A">
        <w:rPr>
          <w:rFonts w:ascii="Arial" w:hAnsi="Arial" w:cs="Arial"/>
          <w:color w:val="000000"/>
        </w:rPr>
        <w:br/>
        <w:t>Product Liability Cost adjusted for 2008: $32,720,000,000</w:t>
      </w:r>
      <w:r w:rsidRPr="00F6208A">
        <w:rPr>
          <w:rFonts w:ascii="Arial" w:hAnsi="Arial" w:cs="Arial"/>
          <w:color w:val="000000"/>
        </w:rPr>
        <w:br/>
      </w:r>
      <w:r w:rsidRPr="00F6208A">
        <w:rPr>
          <w:rFonts w:ascii="Arial" w:hAnsi="Arial" w:cs="Arial"/>
          <w:color w:val="000000"/>
        </w:rPr>
        <w:br/>
      </w:r>
      <w:proofErr w:type="gramStart"/>
      <w:r w:rsidRPr="00F6208A">
        <w:rPr>
          <w:rFonts w:ascii="Arial" w:hAnsi="Arial" w:cs="Arial"/>
          <w:color w:val="000000"/>
        </w:rPr>
        <w:t>What</w:t>
      </w:r>
      <w:proofErr w:type="gramEnd"/>
      <w:r w:rsidRPr="00F6208A">
        <w:rPr>
          <w:rFonts w:ascii="Arial" w:hAnsi="Arial" w:cs="Arial"/>
          <w:color w:val="000000"/>
        </w:rPr>
        <w:t xml:space="preserve"> types of products need products liability </w:t>
      </w:r>
      <w:hyperlink r:id="rId10" w:history="1">
        <w:r w:rsidRPr="00F6208A">
          <w:rPr>
            <w:rStyle w:val="itxtrst"/>
            <w:rFonts w:ascii="Arial" w:hAnsi="Arial" w:cs="Arial"/>
            <w:color w:val="006400"/>
            <w:u w:val="single"/>
          </w:rPr>
          <w:t>insurance</w:t>
        </w:r>
      </w:hyperlink>
      <w:r w:rsidRPr="00F6208A">
        <w:rPr>
          <w:rFonts w:ascii="Arial" w:hAnsi="Arial" w:cs="Arial"/>
          <w:color w:val="000000"/>
        </w:rPr>
        <w:t>?</w:t>
      </w:r>
      <w:r w:rsidRPr="00F6208A">
        <w:rPr>
          <w:rFonts w:ascii="Arial" w:hAnsi="Arial" w:cs="Arial"/>
          <w:color w:val="000000"/>
        </w:rPr>
        <w:br/>
      </w:r>
      <w:r w:rsidRPr="00F6208A">
        <w:rPr>
          <w:rFonts w:ascii="Arial" w:hAnsi="Arial" w:cs="Arial"/>
          <w:color w:val="000000"/>
        </w:rPr>
        <w:br/>
        <w:t xml:space="preserve">Essentially any product that is put into market or sold in any venue should have products liability insurance. Some examples are food, clothing, tools, energy products, furniture, stationary goods, beverages, baked products, luggage, </w:t>
      </w:r>
      <w:proofErr w:type="gramStart"/>
      <w:r w:rsidRPr="00F6208A">
        <w:rPr>
          <w:rFonts w:ascii="Arial" w:hAnsi="Arial" w:cs="Arial"/>
          <w:color w:val="000000"/>
        </w:rPr>
        <w:t>pet</w:t>
      </w:r>
      <w:proofErr w:type="gramEnd"/>
      <w:r w:rsidRPr="00F6208A">
        <w:rPr>
          <w:rFonts w:ascii="Arial" w:hAnsi="Arial" w:cs="Arial"/>
          <w:color w:val="000000"/>
        </w:rPr>
        <w:t xml:space="preserve"> items, heating &amp; cooling apparatus, electronic goods, vehicles, toys (especially). </w:t>
      </w:r>
    </w:p>
    <w:p w:rsidR="00380C55" w:rsidRPr="00F6208A" w:rsidRDefault="00380C55" w:rsidP="00F6208A"/>
    <w:sectPr w:rsidR="00380C55" w:rsidRPr="00F6208A"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208A"/>
    <w:rsid w:val="00380C55"/>
    <w:rsid w:val="003C3A5C"/>
    <w:rsid w:val="00A6482D"/>
    <w:rsid w:val="00C63158"/>
    <w:rsid w:val="00F620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paragraph" w:styleId="Heading1">
    <w:name w:val="heading 1"/>
    <w:basedOn w:val="Normal"/>
    <w:link w:val="Heading1Char"/>
    <w:uiPriority w:val="9"/>
    <w:qFormat/>
    <w:rsid w:val="00F6208A"/>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208A"/>
    <w:rPr>
      <w:color w:val="0000FF"/>
      <w:u w:val="single"/>
    </w:rPr>
  </w:style>
  <w:style w:type="character" w:customStyle="1" w:styleId="meta-prep">
    <w:name w:val="meta-prep"/>
    <w:basedOn w:val="DefaultParagraphFont"/>
    <w:rsid w:val="00F6208A"/>
  </w:style>
  <w:style w:type="character" w:customStyle="1" w:styleId="entry-date">
    <w:name w:val="entry-date"/>
    <w:basedOn w:val="DefaultParagraphFont"/>
    <w:rsid w:val="00F6208A"/>
  </w:style>
  <w:style w:type="character" w:customStyle="1" w:styleId="meta-sep">
    <w:name w:val="meta-sep"/>
    <w:basedOn w:val="DefaultParagraphFont"/>
    <w:rsid w:val="00F6208A"/>
  </w:style>
  <w:style w:type="character" w:customStyle="1" w:styleId="author">
    <w:name w:val="author"/>
    <w:basedOn w:val="DefaultParagraphFont"/>
    <w:rsid w:val="00F6208A"/>
  </w:style>
  <w:style w:type="character" w:customStyle="1" w:styleId="Heading1Char">
    <w:name w:val="Heading 1 Char"/>
    <w:basedOn w:val="DefaultParagraphFont"/>
    <w:link w:val="Heading1"/>
    <w:uiPriority w:val="9"/>
    <w:rsid w:val="00F6208A"/>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F6208A"/>
    <w:rPr>
      <w:b/>
      <w:bCs/>
    </w:rPr>
  </w:style>
  <w:style w:type="paragraph" w:styleId="NormalWeb">
    <w:name w:val="Normal (Web)"/>
    <w:basedOn w:val="Normal"/>
    <w:uiPriority w:val="99"/>
    <w:semiHidden/>
    <w:unhideWhenUsed/>
    <w:rsid w:val="00F6208A"/>
    <w:pPr>
      <w:spacing w:before="100" w:beforeAutospacing="1" w:after="100" w:afterAutospacing="1"/>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F6208A"/>
    <w:pPr>
      <w:pBdr>
        <w:bottom w:val="single" w:sz="6" w:space="1" w:color="auto"/>
      </w:pBdr>
      <w:spacing w:after="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6208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6208A"/>
    <w:pPr>
      <w:pBdr>
        <w:top w:val="single" w:sz="6" w:space="1" w:color="auto"/>
      </w:pBdr>
      <w:spacing w:after="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F6208A"/>
    <w:rPr>
      <w:rFonts w:ascii="Arial" w:eastAsia="Times New Roman" w:hAnsi="Arial" w:cs="Arial"/>
      <w:vanish/>
      <w:sz w:val="16"/>
      <w:szCs w:val="16"/>
    </w:rPr>
  </w:style>
  <w:style w:type="character" w:customStyle="1" w:styleId="itxtrst">
    <w:name w:val="itxtrst"/>
    <w:basedOn w:val="DefaultParagraphFont"/>
    <w:rsid w:val="00F6208A"/>
  </w:style>
  <w:style w:type="paragraph" w:styleId="BalloonText">
    <w:name w:val="Balloon Text"/>
    <w:basedOn w:val="Normal"/>
    <w:link w:val="BalloonTextChar"/>
    <w:uiPriority w:val="99"/>
    <w:semiHidden/>
    <w:unhideWhenUsed/>
    <w:rsid w:val="00F6208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0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5448116">
      <w:bodyDiv w:val="1"/>
      <w:marLeft w:val="0"/>
      <w:marRight w:val="0"/>
      <w:marTop w:val="0"/>
      <w:marBottom w:val="0"/>
      <w:divBdr>
        <w:top w:val="none" w:sz="0" w:space="0" w:color="auto"/>
        <w:left w:val="none" w:sz="0" w:space="0" w:color="auto"/>
        <w:bottom w:val="none" w:sz="0" w:space="0" w:color="auto"/>
        <w:right w:val="none" w:sz="0" w:space="0" w:color="auto"/>
      </w:divBdr>
      <w:divsChild>
        <w:div w:id="1173496146">
          <w:marLeft w:val="0"/>
          <w:marRight w:val="0"/>
          <w:marTop w:val="0"/>
          <w:marBottom w:val="0"/>
          <w:divBdr>
            <w:top w:val="none" w:sz="0" w:space="0" w:color="auto"/>
            <w:left w:val="none" w:sz="0" w:space="0" w:color="auto"/>
            <w:bottom w:val="none" w:sz="0" w:space="0" w:color="auto"/>
            <w:right w:val="none" w:sz="0" w:space="0" w:color="auto"/>
          </w:divBdr>
          <w:divsChild>
            <w:div w:id="420493645">
              <w:marLeft w:val="0"/>
              <w:marRight w:val="0"/>
              <w:marTop w:val="0"/>
              <w:marBottom w:val="0"/>
              <w:divBdr>
                <w:top w:val="none" w:sz="0" w:space="0" w:color="auto"/>
                <w:left w:val="none" w:sz="0" w:space="0" w:color="auto"/>
                <w:bottom w:val="none" w:sz="0" w:space="0" w:color="auto"/>
                <w:right w:val="none" w:sz="0" w:space="0" w:color="auto"/>
              </w:divBdr>
              <w:divsChild>
                <w:div w:id="14088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355655">
      <w:bodyDiv w:val="1"/>
      <w:marLeft w:val="0"/>
      <w:marRight w:val="0"/>
      <w:marTop w:val="0"/>
      <w:marBottom w:val="0"/>
      <w:divBdr>
        <w:top w:val="none" w:sz="0" w:space="0" w:color="auto"/>
        <w:left w:val="none" w:sz="0" w:space="0" w:color="auto"/>
        <w:bottom w:val="none" w:sz="0" w:space="0" w:color="auto"/>
        <w:right w:val="none" w:sz="0" w:space="0" w:color="auto"/>
      </w:divBdr>
      <w:divsChild>
        <w:div w:id="1878882942">
          <w:marLeft w:val="0"/>
          <w:marRight w:val="0"/>
          <w:marTop w:val="0"/>
          <w:marBottom w:val="0"/>
          <w:divBdr>
            <w:top w:val="single" w:sz="2" w:space="0" w:color="FF0000"/>
            <w:left w:val="single" w:sz="2" w:space="0" w:color="FF0000"/>
            <w:bottom w:val="single" w:sz="2" w:space="0" w:color="FF0000"/>
            <w:right w:val="single" w:sz="2" w:space="0" w:color="FF0000"/>
          </w:divBdr>
          <w:divsChild>
            <w:div w:id="1752386274">
              <w:marLeft w:val="0"/>
              <w:marRight w:val="0"/>
              <w:marTop w:val="0"/>
              <w:marBottom w:val="0"/>
              <w:divBdr>
                <w:top w:val="single" w:sz="2" w:space="0" w:color="FF0000"/>
                <w:left w:val="single" w:sz="2" w:space="0" w:color="FF0000"/>
                <w:bottom w:val="single" w:sz="2" w:space="0" w:color="FF0000"/>
                <w:right w:val="single" w:sz="2" w:space="0" w:color="FF0000"/>
              </w:divBdr>
              <w:divsChild>
                <w:div w:id="583994439">
                  <w:marLeft w:val="0"/>
                  <w:marRight w:val="0"/>
                  <w:marTop w:val="0"/>
                  <w:marBottom w:val="0"/>
                  <w:divBdr>
                    <w:top w:val="single" w:sz="2" w:space="0" w:color="FF0000"/>
                    <w:left w:val="single" w:sz="2" w:space="0" w:color="FF0000"/>
                    <w:bottom w:val="single" w:sz="2" w:space="0" w:color="FF0000"/>
                    <w:right w:val="single" w:sz="2" w:space="0" w:color="FF0000"/>
                  </w:divBdr>
                  <w:divsChild>
                    <w:div w:id="2076469953">
                      <w:marLeft w:val="150"/>
                      <w:marRight w:val="150"/>
                      <w:marTop w:val="0"/>
                      <w:marBottom w:val="150"/>
                      <w:divBdr>
                        <w:top w:val="none" w:sz="0" w:space="0" w:color="auto"/>
                        <w:left w:val="none" w:sz="0" w:space="0" w:color="auto"/>
                        <w:bottom w:val="none" w:sz="0" w:space="0" w:color="auto"/>
                        <w:right w:val="none" w:sz="0" w:space="0" w:color="auto"/>
                      </w:divBdr>
                      <w:divsChild>
                        <w:div w:id="1931312253">
                          <w:marLeft w:val="0"/>
                          <w:marRight w:val="0"/>
                          <w:marTop w:val="0"/>
                          <w:marBottom w:val="0"/>
                          <w:divBdr>
                            <w:top w:val="single" w:sz="2" w:space="0" w:color="666666"/>
                            <w:left w:val="single" w:sz="2" w:space="0" w:color="666666"/>
                            <w:bottom w:val="single" w:sz="2" w:space="0" w:color="666666"/>
                            <w:right w:val="single" w:sz="2" w:space="0" w:color="666666"/>
                          </w:divBdr>
                          <w:divsChild>
                            <w:div w:id="830684631">
                              <w:marLeft w:val="0"/>
                              <w:marRight w:val="0"/>
                              <w:marTop w:val="0"/>
                              <w:marBottom w:val="510"/>
                              <w:divBdr>
                                <w:top w:val="single" w:sz="2" w:space="0" w:color="666666"/>
                                <w:left w:val="single" w:sz="2" w:space="0" w:color="666666"/>
                                <w:bottom w:val="single" w:sz="2" w:space="0" w:color="666666"/>
                                <w:right w:val="single" w:sz="2" w:space="0" w:color="666666"/>
                              </w:divBdr>
                            </w:div>
                          </w:divsChild>
                        </w:div>
                      </w:divsChild>
                    </w:div>
                  </w:divsChild>
                </w:div>
                <w:div w:id="1383165348">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vancarmichael.com/Retail/3795/6-Largest-Products-Liability-Insurance-Suits.html" TargetMode="External"/><Relationship Id="rId3" Type="http://schemas.openxmlformats.org/officeDocument/2006/relationships/webSettings" Target="webSettings.xml"/><Relationship Id="rId7" Type="http://schemas.openxmlformats.org/officeDocument/2006/relationships/hyperlink" Target="http://www.evancarmichael.com/Retail/3795/6-Largest-Products-Liability-Insurance-Suits.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vancarmichael.com/Retail/3795/6-Largest-Products-Liability-Insurance-Suits.html" TargetMode="External"/><Relationship Id="rId11" Type="http://schemas.openxmlformats.org/officeDocument/2006/relationships/fontTable" Target="fontTable.xml"/><Relationship Id="rId5" Type="http://schemas.openxmlformats.org/officeDocument/2006/relationships/hyperlink" Target="http://www.evancarmichael.com/Retail/3795/6-Largest-Products-Liability-Insurance-Suits.html" TargetMode="External"/><Relationship Id="rId10" Type="http://schemas.openxmlformats.org/officeDocument/2006/relationships/hyperlink" Target="http://www.evancarmichael.com/Retail/3795/6-Largest-Products-Liability-Insurance-Suits.html" TargetMode="External"/><Relationship Id="rId4" Type="http://schemas.openxmlformats.org/officeDocument/2006/relationships/hyperlink" Target="http://www.evancarmichael.com/Retail/3795/6-Largest-Products-Liability-Insurance-Suits.html" TargetMode="External"/><Relationship Id="rId9" Type="http://schemas.openxmlformats.org/officeDocument/2006/relationships/hyperlink" Target="http://www.evancarmichael.com/Retail/3795/6-Largest-Products-Liability-Insurance-Sui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636</Words>
  <Characters>3626</Characters>
  <Application>Microsoft Office Word</Application>
  <DocSecurity>0</DocSecurity>
  <Lines>30</Lines>
  <Paragraphs>8</Paragraphs>
  <ScaleCrop>false</ScaleCrop>
  <Company>l</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2013-03-27T17:19:00Z</dcterms:created>
  <dcterms:modified xsi:type="dcterms:W3CDTF">2013-03-27T17:19:00Z</dcterms:modified>
</cp:coreProperties>
</file>