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99"/>
      </w:tblGrid>
      <w:tr w:rsidR="00DD40DF" w:rsidTr="00C44E14">
        <w:trPr>
          <w:trHeight w:val="457"/>
        </w:trPr>
        <w:tc>
          <w:tcPr>
            <w:tcW w:w="13199" w:type="dxa"/>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6C59A6" w:rsidRDefault="006C59A6" w:rsidP="00C44E14">
            <w:pPr>
              <w:autoSpaceDE w:val="0"/>
              <w:autoSpaceDN w:val="0"/>
              <w:adjustRightInd w:val="0"/>
              <w:spacing w:after="0" w:line="240" w:lineRule="auto"/>
              <w:rPr>
                <w:rFonts w:cs="Tahoma"/>
                <w:b/>
              </w:rPr>
            </w:pPr>
          </w:p>
          <w:p w:rsidR="006C59A6" w:rsidRDefault="006C59A6" w:rsidP="006C59A6">
            <w:pPr>
              <w:spacing w:after="0"/>
            </w:pPr>
            <w:r>
              <w:t>This is an introductory course for Banking and Financial Support Services which also operates a student bank as the implementation practicum. This course also introduces the student to personal finance, including opening and maintaining a checking account, and credit card pitfalls and proper use, a very important skill for all young adults. It is designed to familiarize the student with all aspects of a typical bank including savings, loans, operations, and audit functions. It also covers the history of banking, the organizational structure, and the operations and marketing of a student bank.</w:t>
            </w:r>
          </w:p>
          <w:p w:rsidR="006C59A6" w:rsidRDefault="006C59A6" w:rsidP="006C59A6">
            <w:pPr>
              <w:spacing w:after="0"/>
            </w:pPr>
          </w:p>
          <w:p w:rsidR="006C59A6" w:rsidRPr="00055E06" w:rsidRDefault="006C59A6" w:rsidP="006C59A6">
            <w:pPr>
              <w:spacing w:after="0"/>
              <w:rPr>
                <w:u w:val="single"/>
              </w:rPr>
            </w:pPr>
            <w:r w:rsidRPr="00055E06">
              <w:rPr>
                <w:u w:val="single"/>
              </w:rPr>
              <w:t>COURSE  RATIONALE</w:t>
            </w:r>
          </w:p>
          <w:p w:rsidR="006C59A6" w:rsidRDefault="006C59A6" w:rsidP="006C59A6">
            <w:pPr>
              <w:spacing w:after="0"/>
            </w:pPr>
            <w:r>
              <w:t>Financial literacy is essential in meeting the financial challenges of the 21st Century. The course</w:t>
            </w:r>
            <w:r w:rsidR="00A7258A">
              <w:t xml:space="preserve"> </w:t>
            </w:r>
            <w:r>
              <w:t>provides valuable experience in running an actual bank while learning to analyze personal financial</w:t>
            </w:r>
            <w:r w:rsidR="00A7258A">
              <w:t xml:space="preserve"> </w:t>
            </w:r>
            <w:r>
              <w:t>decisions, evaluate the costs and benefits of their decisions, recognize the rights and responsibilities</w:t>
            </w:r>
            <w:r w:rsidR="00A7258A">
              <w:t xml:space="preserve"> </w:t>
            </w:r>
            <w:r>
              <w:t>as consumers, and apply the knowledge learned in school to financial situations encountered later in</w:t>
            </w:r>
            <w:r w:rsidR="00A7258A">
              <w:t xml:space="preserve"> </w:t>
            </w:r>
            <w:r>
              <w:t>life.</w:t>
            </w: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754BC2" w:rsidRDefault="00754BC2" w:rsidP="006C59A6">
            <w:pPr>
              <w:spacing w:after="0"/>
            </w:pPr>
          </w:p>
          <w:p w:rsidR="00DD40DF" w:rsidRPr="00C44E14" w:rsidRDefault="00DD40DF" w:rsidP="00C44E14">
            <w:pPr>
              <w:autoSpaceDE w:val="0"/>
              <w:autoSpaceDN w:val="0"/>
              <w:adjustRightInd w:val="0"/>
              <w:spacing w:after="0" w:line="240" w:lineRule="auto"/>
              <w:rPr>
                <w:rFonts w:cs="Tahoma"/>
                <w:b/>
              </w:rPr>
            </w:pPr>
          </w:p>
        </w:tc>
      </w:tr>
    </w:tbl>
    <w:p w:rsidR="00FD5A4D" w:rsidRPr="00D95168" w:rsidRDefault="00FD5A4D" w:rsidP="00FD5A4D">
      <w:pPr>
        <w:autoSpaceDE w:val="0"/>
        <w:autoSpaceDN w:val="0"/>
        <w:adjustRightInd w:val="0"/>
        <w:spacing w:after="0" w:line="240" w:lineRule="auto"/>
        <w:rPr>
          <w:rFonts w:ascii="Tahoma" w:hAnsi="Tahoma" w:cs="Tahoma"/>
          <w:b/>
        </w:rPr>
      </w:pPr>
    </w:p>
    <w:p w:rsidR="00FD5A4D" w:rsidRDefault="00FD5A4D"/>
    <w:p w:rsidR="0015225E" w:rsidRDefault="001522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4161"/>
        <w:gridCol w:w="2615"/>
        <w:gridCol w:w="209"/>
        <w:gridCol w:w="1144"/>
        <w:gridCol w:w="701"/>
        <w:gridCol w:w="1388"/>
        <w:gridCol w:w="1316"/>
        <w:gridCol w:w="814"/>
      </w:tblGrid>
      <w:tr w:rsidR="00A7258A" w:rsidRPr="00DD40DF" w:rsidTr="00A7258A">
        <w:tc>
          <w:tcPr>
            <w:tcW w:w="7604" w:type="dxa"/>
            <w:gridSpan w:val="3"/>
          </w:tcPr>
          <w:p w:rsidR="00A7258A" w:rsidRDefault="00A7258A" w:rsidP="00A130ED">
            <w:pPr>
              <w:spacing w:after="0"/>
            </w:pPr>
            <w:r w:rsidRPr="00C44E14">
              <w:rPr>
                <w:b/>
              </w:rPr>
              <w:t>UNIT</w:t>
            </w:r>
            <w:r>
              <w:rPr>
                <w:b/>
              </w:rPr>
              <w:t xml:space="preserve"> 1</w:t>
            </w:r>
            <w:r w:rsidR="00962332">
              <w:rPr>
                <w:b/>
              </w:rPr>
              <w:t>3</w:t>
            </w:r>
            <w:r>
              <w:rPr>
                <w:b/>
              </w:rPr>
              <w:t>, DESCRIPTION</w:t>
            </w:r>
            <w:r w:rsidRPr="00C44E14">
              <w:rPr>
                <w:b/>
              </w:rPr>
              <w:t xml:space="preserve">: </w:t>
            </w:r>
            <w:r>
              <w:rPr>
                <w:b/>
              </w:rPr>
              <w:t xml:space="preserve"> </w:t>
            </w:r>
          </w:p>
          <w:p w:rsidR="00A7258A" w:rsidRPr="00466045" w:rsidRDefault="00A130ED" w:rsidP="00466045">
            <w:pPr>
              <w:spacing w:after="0"/>
            </w:pPr>
            <w:r>
              <w:t xml:space="preserve">Adult students will have an additional component of job shadowing and subsequent internship with local businesses. Local banks will be solicited to place high school </w:t>
            </w:r>
            <w:r w:rsidR="0069005C">
              <w:t xml:space="preserve">and adult </w:t>
            </w:r>
            <w:r>
              <w:t>students into internship positions</w:t>
            </w:r>
            <w:r w:rsidR="0069005C">
              <w:t xml:space="preserve">.  They are </w:t>
            </w:r>
            <w:r>
              <w:t>typically paid</w:t>
            </w:r>
            <w:r w:rsidR="0069005C">
              <w:t xml:space="preserve"> positions</w:t>
            </w:r>
            <w:r>
              <w:t xml:space="preserve"> but may be unpaid</w:t>
            </w:r>
            <w:r w:rsidR="0069005C">
              <w:t>.</w:t>
            </w:r>
            <w:r>
              <w:t xml:space="preserve"> </w:t>
            </w:r>
            <w:r w:rsidR="0069005C">
              <w:t>The high school program is not</w:t>
            </w:r>
            <w:r>
              <w:t xml:space="preserve"> an essential component </w:t>
            </w:r>
            <w:r w:rsidR="0069005C">
              <w:t xml:space="preserve">of the banking program but </w:t>
            </w:r>
            <w:r>
              <w:t>is prescribed for adult students</w:t>
            </w:r>
            <w:r w:rsidR="0069005C">
              <w:t xml:space="preserve"> because placement is </w:t>
            </w:r>
            <w:proofErr w:type="gramStart"/>
            <w:r w:rsidR="0069005C">
              <w:t>key</w:t>
            </w:r>
            <w:proofErr w:type="gramEnd"/>
            <w:r w:rsidR="0069005C">
              <w:t xml:space="preserve"> to success for the student and their return to the workforce.</w:t>
            </w:r>
            <w:bookmarkStart w:id="0" w:name="_GoBack"/>
            <w:bookmarkEnd w:id="0"/>
          </w:p>
        </w:tc>
        <w:tc>
          <w:tcPr>
            <w:tcW w:w="5572" w:type="dxa"/>
            <w:gridSpan w:val="6"/>
          </w:tcPr>
          <w:p w:rsidR="00A7258A" w:rsidRPr="00C44E14" w:rsidRDefault="00A7258A" w:rsidP="00A7258A">
            <w:pPr>
              <w:spacing w:line="240" w:lineRule="auto"/>
              <w:rPr>
                <w:b/>
              </w:rPr>
            </w:pPr>
            <w:r w:rsidRPr="00C44E14">
              <w:rPr>
                <w:b/>
              </w:rPr>
              <w:t>SUGGESTED UNIT TIMELINE:</w:t>
            </w:r>
            <w:r>
              <w:rPr>
                <w:b/>
              </w:rPr>
              <w:t xml:space="preserve">  </w:t>
            </w:r>
            <w:r w:rsidRPr="00C44E14">
              <w:rPr>
                <w:b/>
              </w:rPr>
              <w:t xml:space="preserve">    </w:t>
            </w:r>
            <w:r w:rsidR="00613BA8">
              <w:rPr>
                <w:b/>
              </w:rPr>
              <w:t>2</w:t>
            </w:r>
            <w:r w:rsidR="00613BA8" w:rsidRPr="00613BA8">
              <w:rPr>
                <w:b/>
                <w:vertAlign w:val="superscript"/>
              </w:rPr>
              <w:t>nd</w:t>
            </w:r>
            <w:r w:rsidR="00613BA8">
              <w:rPr>
                <w:b/>
              </w:rPr>
              <w:t xml:space="preserve"> semester of school year</w:t>
            </w:r>
            <w:r w:rsidRPr="00C44E14">
              <w:rPr>
                <w:b/>
              </w:rPr>
              <w:t xml:space="preserve">                              </w:t>
            </w:r>
          </w:p>
          <w:p w:rsidR="00A7258A" w:rsidRPr="00C44E14" w:rsidRDefault="00A7258A" w:rsidP="00A7258A">
            <w:pPr>
              <w:spacing w:line="240" w:lineRule="auto"/>
              <w:rPr>
                <w:b/>
              </w:rPr>
            </w:pPr>
            <w:r w:rsidRPr="00C44E14">
              <w:rPr>
                <w:b/>
              </w:rPr>
              <w:t xml:space="preserve">CLASS PERIOD (min.): </w:t>
            </w:r>
            <w:r w:rsidR="00754BC2">
              <w:rPr>
                <w:b/>
              </w:rPr>
              <w:t>50 min.</w:t>
            </w:r>
          </w:p>
        </w:tc>
      </w:tr>
      <w:tr w:rsidR="00A7258A" w:rsidRPr="00DD40DF" w:rsidTr="00A7258A">
        <w:tc>
          <w:tcPr>
            <w:tcW w:w="13176" w:type="dxa"/>
            <w:gridSpan w:val="9"/>
          </w:tcPr>
          <w:p w:rsidR="00A7258A" w:rsidRPr="00C44E14" w:rsidRDefault="00A7258A" w:rsidP="00305E12">
            <w:pPr>
              <w:spacing w:after="0" w:line="240" w:lineRule="auto"/>
              <w:rPr>
                <w:b/>
              </w:rPr>
            </w:pPr>
            <w:r w:rsidRPr="00C44E14">
              <w:rPr>
                <w:b/>
              </w:rPr>
              <w:t>ESSENTIAL QUESTIONS:</w:t>
            </w:r>
          </w:p>
          <w:p w:rsidR="00A7258A" w:rsidRDefault="00A7258A" w:rsidP="00305E12">
            <w:pPr>
              <w:spacing w:after="0" w:line="240" w:lineRule="auto"/>
            </w:pPr>
            <w:r w:rsidRPr="00C44E14">
              <w:rPr>
                <w:b/>
              </w:rPr>
              <w:t>1.</w:t>
            </w:r>
            <w:r>
              <w:rPr>
                <w:b/>
              </w:rPr>
              <w:t xml:space="preserve"> </w:t>
            </w:r>
            <w:r w:rsidR="00D37A3A">
              <w:rPr>
                <w:b/>
              </w:rPr>
              <w:t xml:space="preserve">  </w:t>
            </w:r>
            <w:r w:rsidR="00D37A3A">
              <w:t>What level of technical competency is the employing community seeking in a new employee?</w:t>
            </w:r>
          </w:p>
          <w:p w:rsidR="00A7258A" w:rsidRPr="0069005C" w:rsidRDefault="00A7258A" w:rsidP="00305E12">
            <w:pPr>
              <w:spacing w:after="0" w:line="240" w:lineRule="auto"/>
            </w:pPr>
            <w:r w:rsidRPr="00C44E14">
              <w:rPr>
                <w:b/>
              </w:rPr>
              <w:t>2.</w:t>
            </w:r>
            <w:r w:rsidR="00D37A3A">
              <w:rPr>
                <w:b/>
              </w:rPr>
              <w:t xml:space="preserve">  </w:t>
            </w:r>
            <w:r>
              <w:rPr>
                <w:b/>
              </w:rPr>
              <w:t xml:space="preserve"> </w:t>
            </w:r>
            <w:r w:rsidR="0069005C">
              <w:t xml:space="preserve">What risks or restrictions does the employer face in the banking community </w:t>
            </w:r>
            <w:r w:rsidR="00305E12">
              <w:t>who</w:t>
            </w:r>
            <w:r w:rsidR="0069005C">
              <w:t xml:space="preserve"> are not necessarily an issue in other businesses?</w:t>
            </w:r>
            <w:r w:rsidR="00CD78B1">
              <w:t xml:space="preserve"> (e.g.: age, criminal record, times available to work) </w:t>
            </w:r>
          </w:p>
        </w:tc>
      </w:tr>
      <w:tr w:rsidR="00A7258A" w:rsidTr="00A7258A">
        <w:trPr>
          <w:trHeight w:val="197"/>
        </w:trPr>
        <w:tc>
          <w:tcPr>
            <w:tcW w:w="13176" w:type="dxa"/>
            <w:gridSpan w:val="9"/>
            <w:shd w:val="clear" w:color="auto" w:fill="D9D9D9"/>
          </w:tcPr>
          <w:p w:rsidR="00A7258A" w:rsidRDefault="00A7258A" w:rsidP="00A7258A">
            <w:pPr>
              <w:spacing w:line="240" w:lineRule="auto"/>
            </w:pPr>
          </w:p>
        </w:tc>
      </w:tr>
      <w:tr w:rsidR="00A7258A" w:rsidTr="00A7258A">
        <w:trPr>
          <w:trHeight w:val="467"/>
        </w:trPr>
        <w:tc>
          <w:tcPr>
            <w:tcW w:w="4989" w:type="dxa"/>
            <w:gridSpan w:val="2"/>
            <w:vMerge w:val="restart"/>
          </w:tcPr>
          <w:p w:rsidR="00A7258A" w:rsidRPr="00C44E14" w:rsidRDefault="00A7258A" w:rsidP="00A7258A">
            <w:pPr>
              <w:spacing w:line="240" w:lineRule="auto"/>
              <w:jc w:val="center"/>
              <w:rPr>
                <w:b/>
              </w:rPr>
            </w:pPr>
            <w:r w:rsidRPr="00C44E14">
              <w:rPr>
                <w:b/>
              </w:rPr>
              <w:t xml:space="preserve">ESSENTIAL MEASURABLE LEARNING OBJECTIVES                         </w:t>
            </w:r>
          </w:p>
        </w:tc>
        <w:tc>
          <w:tcPr>
            <w:tcW w:w="2824" w:type="dxa"/>
            <w:gridSpan w:val="2"/>
            <w:vMerge w:val="restart"/>
          </w:tcPr>
          <w:p w:rsidR="00A7258A" w:rsidRPr="00C44E14" w:rsidRDefault="00A7258A" w:rsidP="00A7258A">
            <w:pPr>
              <w:spacing w:line="240" w:lineRule="auto"/>
              <w:jc w:val="center"/>
              <w:rPr>
                <w:b/>
              </w:rPr>
            </w:pPr>
            <w:r w:rsidRPr="00C44E14">
              <w:rPr>
                <w:b/>
              </w:rPr>
              <w:t>CCSS LEARNING GOALS (Anchor Standards/Clusters)</w:t>
            </w:r>
          </w:p>
        </w:tc>
        <w:tc>
          <w:tcPr>
            <w:tcW w:w="5363" w:type="dxa"/>
            <w:gridSpan w:val="5"/>
          </w:tcPr>
          <w:p w:rsidR="00A7258A" w:rsidRPr="00C44E14" w:rsidRDefault="00A7258A" w:rsidP="00A7258A">
            <w:pPr>
              <w:spacing w:line="240" w:lineRule="auto"/>
              <w:jc w:val="center"/>
              <w:rPr>
                <w:b/>
              </w:rPr>
            </w:pPr>
            <w:r w:rsidRPr="00C44E14">
              <w:rPr>
                <w:b/>
              </w:rPr>
              <w:t>CROSSWALK TO STANDARDS</w:t>
            </w:r>
          </w:p>
        </w:tc>
      </w:tr>
      <w:tr w:rsidR="00A7258A" w:rsidTr="00A7258A">
        <w:trPr>
          <w:trHeight w:val="466"/>
        </w:trPr>
        <w:tc>
          <w:tcPr>
            <w:tcW w:w="4989" w:type="dxa"/>
            <w:gridSpan w:val="2"/>
            <w:vMerge/>
          </w:tcPr>
          <w:p w:rsidR="00A7258A" w:rsidRPr="00C44E14" w:rsidRDefault="00A7258A" w:rsidP="00A7258A">
            <w:pPr>
              <w:spacing w:line="240" w:lineRule="auto"/>
              <w:jc w:val="center"/>
              <w:rPr>
                <w:b/>
              </w:rPr>
            </w:pPr>
          </w:p>
        </w:tc>
        <w:tc>
          <w:tcPr>
            <w:tcW w:w="2824" w:type="dxa"/>
            <w:gridSpan w:val="2"/>
            <w:vMerge/>
          </w:tcPr>
          <w:p w:rsidR="00A7258A" w:rsidRPr="00C44E14" w:rsidRDefault="00A7258A" w:rsidP="00A7258A">
            <w:pPr>
              <w:spacing w:line="240" w:lineRule="auto"/>
              <w:jc w:val="center"/>
              <w:rPr>
                <w:b/>
              </w:rPr>
            </w:pPr>
          </w:p>
        </w:tc>
        <w:tc>
          <w:tcPr>
            <w:tcW w:w="1144" w:type="dxa"/>
            <w:shd w:val="clear" w:color="auto" w:fill="auto"/>
          </w:tcPr>
          <w:p w:rsidR="00A7258A" w:rsidRPr="00C44E14" w:rsidRDefault="00A7258A" w:rsidP="00A7258A">
            <w:pPr>
              <w:spacing w:line="240" w:lineRule="auto"/>
              <w:jc w:val="center"/>
              <w:rPr>
                <w:b/>
              </w:rPr>
            </w:pPr>
            <w:r w:rsidRPr="00C44E14">
              <w:rPr>
                <w:b/>
              </w:rPr>
              <w:t>GLEs/CLEs</w:t>
            </w:r>
          </w:p>
        </w:tc>
        <w:tc>
          <w:tcPr>
            <w:tcW w:w="701" w:type="dxa"/>
            <w:shd w:val="clear" w:color="auto" w:fill="auto"/>
          </w:tcPr>
          <w:p w:rsidR="00A7258A" w:rsidRPr="00C44E14" w:rsidRDefault="00A7258A" w:rsidP="00A7258A">
            <w:pPr>
              <w:spacing w:line="240" w:lineRule="auto"/>
              <w:jc w:val="center"/>
              <w:rPr>
                <w:b/>
              </w:rPr>
            </w:pPr>
            <w:r w:rsidRPr="00C44E14">
              <w:rPr>
                <w:b/>
              </w:rPr>
              <w:t>PS</w:t>
            </w:r>
          </w:p>
        </w:tc>
        <w:tc>
          <w:tcPr>
            <w:tcW w:w="1388" w:type="dxa"/>
          </w:tcPr>
          <w:p w:rsidR="00A7258A" w:rsidRPr="00C44E14" w:rsidRDefault="00A7258A" w:rsidP="00A7258A">
            <w:pPr>
              <w:spacing w:line="240" w:lineRule="auto"/>
              <w:jc w:val="center"/>
              <w:rPr>
                <w:b/>
              </w:rPr>
            </w:pPr>
            <w:r w:rsidRPr="00C44E14">
              <w:rPr>
                <w:b/>
              </w:rPr>
              <w:t>CCSS</w:t>
            </w:r>
          </w:p>
        </w:tc>
        <w:tc>
          <w:tcPr>
            <w:tcW w:w="1316" w:type="dxa"/>
          </w:tcPr>
          <w:p w:rsidR="00A7258A" w:rsidRPr="00C44E14" w:rsidRDefault="00A7258A" w:rsidP="00A7258A">
            <w:pPr>
              <w:spacing w:line="240" w:lineRule="auto"/>
              <w:jc w:val="center"/>
              <w:rPr>
                <w:b/>
              </w:rPr>
            </w:pPr>
            <w:r w:rsidRPr="00C44E14">
              <w:rPr>
                <w:b/>
              </w:rPr>
              <w:t>OTHER</w:t>
            </w:r>
          </w:p>
        </w:tc>
        <w:tc>
          <w:tcPr>
            <w:tcW w:w="814" w:type="dxa"/>
          </w:tcPr>
          <w:p w:rsidR="00A7258A" w:rsidRPr="00C44E14" w:rsidRDefault="00A7258A" w:rsidP="00A7258A">
            <w:pPr>
              <w:spacing w:line="240" w:lineRule="auto"/>
              <w:jc w:val="center"/>
              <w:rPr>
                <w:b/>
              </w:rPr>
            </w:pPr>
            <w:r w:rsidRPr="00C44E14">
              <w:rPr>
                <w:b/>
              </w:rPr>
              <w:t>DOK</w:t>
            </w:r>
          </w:p>
        </w:tc>
      </w:tr>
      <w:tr w:rsidR="00A130ED" w:rsidTr="00A7258A">
        <w:trPr>
          <w:trHeight w:val="466"/>
        </w:trPr>
        <w:tc>
          <w:tcPr>
            <w:tcW w:w="4989" w:type="dxa"/>
            <w:gridSpan w:val="2"/>
          </w:tcPr>
          <w:p w:rsidR="00A130ED" w:rsidRDefault="00EF0D5C" w:rsidP="00A7258A">
            <w:pPr>
              <w:pStyle w:val="ListParagraph"/>
              <w:spacing w:line="240" w:lineRule="auto"/>
              <w:ind w:left="0"/>
            </w:pPr>
            <w:r>
              <w:rPr>
                <w:b/>
              </w:rPr>
              <w:t>1.</w:t>
            </w:r>
            <w:r>
              <w:t xml:space="preserve">  </w:t>
            </w:r>
            <w:r w:rsidR="00A130ED">
              <w:t>Students placed into internships will be monitored for performance success.</w:t>
            </w:r>
          </w:p>
        </w:tc>
        <w:tc>
          <w:tcPr>
            <w:tcW w:w="2824" w:type="dxa"/>
            <w:gridSpan w:val="2"/>
          </w:tcPr>
          <w:p w:rsidR="00A130ED" w:rsidRPr="00C44E14" w:rsidRDefault="00A130ED" w:rsidP="00A7258A">
            <w:pPr>
              <w:spacing w:line="240" w:lineRule="auto"/>
              <w:rPr>
                <w:b/>
              </w:rPr>
            </w:pPr>
          </w:p>
        </w:tc>
        <w:tc>
          <w:tcPr>
            <w:tcW w:w="1144" w:type="dxa"/>
            <w:shd w:val="clear" w:color="auto" w:fill="auto"/>
          </w:tcPr>
          <w:p w:rsidR="00A130ED" w:rsidRPr="00C44E14" w:rsidRDefault="00A130ED" w:rsidP="00A7258A">
            <w:pPr>
              <w:spacing w:line="240" w:lineRule="auto"/>
              <w:rPr>
                <w:b/>
              </w:rPr>
            </w:pPr>
          </w:p>
        </w:tc>
        <w:tc>
          <w:tcPr>
            <w:tcW w:w="701" w:type="dxa"/>
            <w:shd w:val="clear" w:color="auto" w:fill="auto"/>
          </w:tcPr>
          <w:p w:rsidR="00A130ED" w:rsidRPr="00C44E14" w:rsidRDefault="00A130ED" w:rsidP="00A7258A">
            <w:pPr>
              <w:spacing w:line="240" w:lineRule="auto"/>
              <w:rPr>
                <w:b/>
              </w:rPr>
            </w:pPr>
          </w:p>
        </w:tc>
        <w:tc>
          <w:tcPr>
            <w:tcW w:w="1388" w:type="dxa"/>
            <w:shd w:val="clear" w:color="auto" w:fill="auto"/>
          </w:tcPr>
          <w:p w:rsidR="00A130ED" w:rsidRPr="00DC5E54" w:rsidRDefault="00A130ED" w:rsidP="00A7258A">
            <w:pPr>
              <w:rPr>
                <w:b/>
              </w:rPr>
            </w:pPr>
          </w:p>
        </w:tc>
        <w:tc>
          <w:tcPr>
            <w:tcW w:w="1316" w:type="dxa"/>
            <w:shd w:val="clear" w:color="auto" w:fill="auto"/>
          </w:tcPr>
          <w:p w:rsidR="00466045" w:rsidRDefault="001D0BF7" w:rsidP="00466045">
            <w:pPr>
              <w:spacing w:after="0" w:line="240" w:lineRule="auto"/>
              <w:jc w:val="center"/>
              <w:rPr>
                <w:b/>
              </w:rPr>
            </w:pPr>
            <w:r>
              <w:rPr>
                <w:b/>
              </w:rPr>
              <w:t>CD</w:t>
            </w:r>
            <w:r w:rsidR="00466045">
              <w:rPr>
                <w:b/>
              </w:rPr>
              <w:t>.</w:t>
            </w:r>
            <w:r>
              <w:rPr>
                <w:b/>
              </w:rPr>
              <w:t>V</w:t>
            </w:r>
            <w:r w:rsidR="00466045">
              <w:rPr>
                <w:b/>
              </w:rPr>
              <w:t>.</w:t>
            </w:r>
            <w:r>
              <w:rPr>
                <w:b/>
              </w:rPr>
              <w:t>1</w:t>
            </w:r>
          </w:p>
          <w:p w:rsidR="00466045" w:rsidRDefault="00466045" w:rsidP="00466045">
            <w:pPr>
              <w:spacing w:after="0" w:line="240" w:lineRule="auto"/>
              <w:jc w:val="center"/>
              <w:rPr>
                <w:b/>
              </w:rPr>
            </w:pPr>
            <w:r>
              <w:rPr>
                <w:b/>
              </w:rPr>
              <w:t>CD.V.</w:t>
            </w:r>
            <w:r w:rsidR="001D0BF7">
              <w:rPr>
                <w:b/>
              </w:rPr>
              <w:t>2</w:t>
            </w:r>
          </w:p>
          <w:p w:rsidR="00A130ED" w:rsidRPr="00C44E14" w:rsidRDefault="00466045" w:rsidP="00466045">
            <w:pPr>
              <w:spacing w:after="0" w:line="240" w:lineRule="auto"/>
              <w:jc w:val="center"/>
              <w:rPr>
                <w:b/>
              </w:rPr>
            </w:pPr>
            <w:r>
              <w:rPr>
                <w:b/>
              </w:rPr>
              <w:t>CD.V.</w:t>
            </w:r>
            <w:r w:rsidR="001D0BF7">
              <w:rPr>
                <w:b/>
              </w:rPr>
              <w:t>3</w:t>
            </w:r>
          </w:p>
        </w:tc>
        <w:tc>
          <w:tcPr>
            <w:tcW w:w="814" w:type="dxa"/>
            <w:shd w:val="clear" w:color="auto" w:fill="auto"/>
          </w:tcPr>
          <w:p w:rsidR="00A130ED" w:rsidRPr="003B76EF" w:rsidRDefault="00613BA8" w:rsidP="00A7258A">
            <w:pPr>
              <w:spacing w:line="240" w:lineRule="auto"/>
              <w:jc w:val="center"/>
              <w:rPr>
                <w:b/>
              </w:rPr>
            </w:pPr>
            <w:r>
              <w:rPr>
                <w:b/>
              </w:rPr>
              <w:t>4</w:t>
            </w:r>
          </w:p>
        </w:tc>
      </w:tr>
      <w:tr w:rsidR="00A130ED" w:rsidTr="00A7258A">
        <w:trPr>
          <w:trHeight w:val="466"/>
        </w:trPr>
        <w:tc>
          <w:tcPr>
            <w:tcW w:w="4989" w:type="dxa"/>
            <w:gridSpan w:val="2"/>
          </w:tcPr>
          <w:p w:rsidR="00A130ED" w:rsidRDefault="00EF0D5C" w:rsidP="00A7258A">
            <w:pPr>
              <w:pStyle w:val="ListParagraph"/>
              <w:spacing w:line="240" w:lineRule="auto"/>
              <w:ind w:left="0"/>
            </w:pPr>
            <w:r>
              <w:rPr>
                <w:b/>
              </w:rPr>
              <w:t>2.</w:t>
            </w:r>
            <w:r>
              <w:t xml:space="preserve">  </w:t>
            </w:r>
            <w:r w:rsidR="00A130ED">
              <w:t>Coordination between educator and business supervisor will be conducted at least monthly throughout the internship.</w:t>
            </w:r>
            <w:r>
              <w:t xml:space="preserve">  Evaluate performance and correct any deficiencies.  Mentor for success.</w:t>
            </w:r>
          </w:p>
        </w:tc>
        <w:tc>
          <w:tcPr>
            <w:tcW w:w="2824" w:type="dxa"/>
            <w:gridSpan w:val="2"/>
          </w:tcPr>
          <w:p w:rsidR="00A130ED" w:rsidRPr="00C44E14" w:rsidRDefault="00A130ED" w:rsidP="00A7258A">
            <w:pPr>
              <w:spacing w:line="240" w:lineRule="auto"/>
              <w:rPr>
                <w:b/>
              </w:rPr>
            </w:pPr>
          </w:p>
        </w:tc>
        <w:tc>
          <w:tcPr>
            <w:tcW w:w="1144" w:type="dxa"/>
            <w:shd w:val="clear" w:color="auto" w:fill="auto"/>
          </w:tcPr>
          <w:p w:rsidR="00A130ED" w:rsidRPr="00C44E14" w:rsidRDefault="00A130ED" w:rsidP="00A7258A">
            <w:pPr>
              <w:spacing w:line="240" w:lineRule="auto"/>
              <w:rPr>
                <w:b/>
              </w:rPr>
            </w:pPr>
          </w:p>
        </w:tc>
        <w:tc>
          <w:tcPr>
            <w:tcW w:w="701" w:type="dxa"/>
            <w:shd w:val="clear" w:color="auto" w:fill="auto"/>
          </w:tcPr>
          <w:p w:rsidR="00A130ED" w:rsidRPr="00C44E14" w:rsidRDefault="00A130ED" w:rsidP="00A7258A">
            <w:pPr>
              <w:spacing w:line="240" w:lineRule="auto"/>
              <w:rPr>
                <w:b/>
              </w:rPr>
            </w:pPr>
          </w:p>
        </w:tc>
        <w:tc>
          <w:tcPr>
            <w:tcW w:w="1388" w:type="dxa"/>
            <w:shd w:val="clear" w:color="auto" w:fill="auto"/>
          </w:tcPr>
          <w:p w:rsidR="00A130ED" w:rsidRPr="00DC5E54" w:rsidRDefault="00A130ED" w:rsidP="00A7258A">
            <w:pPr>
              <w:rPr>
                <w:b/>
              </w:rPr>
            </w:pPr>
          </w:p>
        </w:tc>
        <w:tc>
          <w:tcPr>
            <w:tcW w:w="1316" w:type="dxa"/>
            <w:shd w:val="clear" w:color="auto" w:fill="auto"/>
          </w:tcPr>
          <w:p w:rsidR="00466045" w:rsidRDefault="00466045" w:rsidP="00466045">
            <w:pPr>
              <w:spacing w:after="0" w:line="240" w:lineRule="auto"/>
              <w:jc w:val="center"/>
              <w:rPr>
                <w:b/>
              </w:rPr>
            </w:pPr>
            <w:r>
              <w:rPr>
                <w:b/>
              </w:rPr>
              <w:t>CD.V.1</w:t>
            </w:r>
          </w:p>
          <w:p w:rsidR="00466045" w:rsidRDefault="00466045" w:rsidP="00466045">
            <w:pPr>
              <w:spacing w:after="0" w:line="240" w:lineRule="auto"/>
              <w:jc w:val="center"/>
              <w:rPr>
                <w:b/>
              </w:rPr>
            </w:pPr>
            <w:r>
              <w:rPr>
                <w:b/>
              </w:rPr>
              <w:t>CD.V.2</w:t>
            </w:r>
          </w:p>
          <w:p w:rsidR="00A130ED" w:rsidRPr="00466045" w:rsidRDefault="00466045" w:rsidP="00466045">
            <w:pPr>
              <w:jc w:val="center"/>
            </w:pPr>
            <w:r>
              <w:rPr>
                <w:b/>
              </w:rPr>
              <w:t>CD.V.3</w:t>
            </w:r>
          </w:p>
        </w:tc>
        <w:tc>
          <w:tcPr>
            <w:tcW w:w="814" w:type="dxa"/>
            <w:shd w:val="clear" w:color="auto" w:fill="auto"/>
          </w:tcPr>
          <w:p w:rsidR="00A130ED" w:rsidRPr="003B76EF" w:rsidRDefault="00613BA8" w:rsidP="00A7258A">
            <w:pPr>
              <w:spacing w:line="240" w:lineRule="auto"/>
              <w:jc w:val="center"/>
              <w:rPr>
                <w:b/>
              </w:rPr>
            </w:pPr>
            <w:r>
              <w:rPr>
                <w:b/>
              </w:rPr>
              <w:t>4</w:t>
            </w:r>
          </w:p>
        </w:tc>
      </w:tr>
      <w:tr w:rsidR="00A7258A" w:rsidTr="00A7258A">
        <w:trPr>
          <w:trHeight w:val="466"/>
        </w:trPr>
        <w:tc>
          <w:tcPr>
            <w:tcW w:w="13176" w:type="dxa"/>
            <w:gridSpan w:val="9"/>
          </w:tcPr>
          <w:p w:rsidR="00A7258A" w:rsidRPr="00C44E14" w:rsidRDefault="00A7258A" w:rsidP="00A7258A">
            <w:pPr>
              <w:spacing w:line="240" w:lineRule="auto"/>
              <w:rPr>
                <w:b/>
              </w:rPr>
            </w:pPr>
            <w:r w:rsidRPr="00C44E14">
              <w:rPr>
                <w:b/>
              </w:rPr>
              <w:t xml:space="preserve">ASSESSMENT DESCRIPTIONS*:  </w:t>
            </w:r>
            <w:r w:rsidRPr="00C44E14">
              <w:rPr>
                <w:b/>
                <w:sz w:val="18"/>
              </w:rPr>
              <w:t>(Write a brief overview here. Identify Formative/Summative.  Actual assessments will be accessed by a link to PDF file or Word doc</w:t>
            </w:r>
            <w:proofErr w:type="gramStart"/>
            <w:r w:rsidRPr="00C44E14">
              <w:rPr>
                <w:b/>
                <w:sz w:val="18"/>
              </w:rPr>
              <w:t>. )</w:t>
            </w:r>
            <w:proofErr w:type="gramEnd"/>
            <w:r w:rsidRPr="00C44E14">
              <w:rPr>
                <w:b/>
              </w:rPr>
              <w:t xml:space="preserve">   </w:t>
            </w:r>
          </w:p>
          <w:p w:rsidR="00A7258A" w:rsidRPr="00C44E14" w:rsidRDefault="00A7258A" w:rsidP="00A7258A">
            <w:pPr>
              <w:spacing w:line="240" w:lineRule="auto"/>
              <w:rPr>
                <w:b/>
              </w:rPr>
            </w:pPr>
          </w:p>
          <w:p w:rsidR="00A7258A" w:rsidRPr="00C44E14" w:rsidRDefault="00A7258A" w:rsidP="00A7258A">
            <w:pPr>
              <w:spacing w:line="240" w:lineRule="auto"/>
              <w:rPr>
                <w:b/>
              </w:rPr>
            </w:pPr>
          </w:p>
          <w:p w:rsidR="00A7258A" w:rsidRPr="00C44E14" w:rsidRDefault="00A7258A" w:rsidP="00A7258A">
            <w:pPr>
              <w:spacing w:line="240" w:lineRule="auto"/>
              <w:rPr>
                <w:b/>
              </w:rPr>
            </w:pPr>
            <w:r w:rsidRPr="00C44E14">
              <w:rPr>
                <w:b/>
              </w:rPr>
              <w:t xml:space="preserve">*Attach Unit Summative Assessment, including Scoring Guides/Scoring Keys/Alignment Codes and DOK Levels for all items.  Label each assessment according to the unit descriptions above </w:t>
            </w:r>
            <w:proofErr w:type="gramStart"/>
            <w:r w:rsidRPr="00C44E14">
              <w:rPr>
                <w:b/>
              </w:rPr>
              <w:t>( i.e</w:t>
            </w:r>
            <w:proofErr w:type="gramEnd"/>
            <w:r w:rsidRPr="00C44E14">
              <w:rPr>
                <w:b/>
              </w:rPr>
              <w:t>., Grade Level/Course Title/Course Code, Unit #.)</w:t>
            </w:r>
          </w:p>
        </w:tc>
      </w:tr>
      <w:tr w:rsidR="00A7258A" w:rsidTr="00A7258A">
        <w:trPr>
          <w:trHeight w:val="359"/>
        </w:trPr>
        <w:tc>
          <w:tcPr>
            <w:tcW w:w="828" w:type="dxa"/>
          </w:tcPr>
          <w:p w:rsidR="00A7258A" w:rsidRPr="00C44E14" w:rsidRDefault="00A7258A" w:rsidP="00A7258A">
            <w:pPr>
              <w:spacing w:line="240" w:lineRule="auto"/>
              <w:rPr>
                <w:b/>
              </w:rPr>
            </w:pPr>
            <w:r w:rsidRPr="00C44E14">
              <w:rPr>
                <w:b/>
              </w:rPr>
              <w:lastRenderedPageBreak/>
              <w:t>Obj. #</w:t>
            </w:r>
          </w:p>
        </w:tc>
        <w:tc>
          <w:tcPr>
            <w:tcW w:w="12348" w:type="dxa"/>
            <w:gridSpan w:val="8"/>
          </w:tcPr>
          <w:p w:rsidR="00A7258A" w:rsidRPr="00D2622A" w:rsidRDefault="00A7258A" w:rsidP="00A7258A">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A7258A" w:rsidTr="00A7258A">
        <w:trPr>
          <w:trHeight w:val="359"/>
        </w:trPr>
        <w:tc>
          <w:tcPr>
            <w:tcW w:w="828" w:type="dxa"/>
          </w:tcPr>
          <w:p w:rsidR="00A7258A" w:rsidRPr="009505D0" w:rsidRDefault="00EF0D5C" w:rsidP="00A7258A">
            <w:pPr>
              <w:spacing w:line="240" w:lineRule="auto"/>
              <w:rPr>
                <w:noProof/>
              </w:rPr>
            </w:pPr>
            <w:r>
              <w:rPr>
                <w:noProof/>
              </w:rPr>
              <w:t>1,2</w:t>
            </w:r>
          </w:p>
        </w:tc>
        <w:tc>
          <w:tcPr>
            <w:tcW w:w="12348" w:type="dxa"/>
            <w:gridSpan w:val="8"/>
          </w:tcPr>
          <w:p w:rsidR="00A7258A" w:rsidRPr="0069005C" w:rsidRDefault="00EB36CA" w:rsidP="0069005C">
            <w:pPr>
              <w:spacing w:line="240" w:lineRule="auto"/>
            </w:pPr>
            <w:r>
              <w:rPr>
                <w:b/>
              </w:rPr>
              <w:t>1.</w:t>
            </w:r>
            <w:r w:rsidR="0069005C">
              <w:rPr>
                <w:b/>
              </w:rPr>
              <w:t xml:space="preserve">  </w:t>
            </w:r>
            <w:r w:rsidR="0069005C">
              <w:t xml:space="preserve">Instructors will build relationships with local banks and credit unions to inform them that our program offers students experience with money handling, internal control procedures, and </w:t>
            </w:r>
            <w:r w:rsidR="008C4BB4">
              <w:t>business manners.</w:t>
            </w:r>
            <w:r w:rsidR="0069005C">
              <w:t xml:space="preserve"> </w:t>
            </w:r>
            <w:r w:rsidR="008C4BB4">
              <w:t>Use Advisory Council as placement resources.</w:t>
            </w:r>
          </w:p>
        </w:tc>
      </w:tr>
      <w:tr w:rsidR="00A7258A" w:rsidTr="00A7258A">
        <w:trPr>
          <w:trHeight w:val="359"/>
        </w:trPr>
        <w:tc>
          <w:tcPr>
            <w:tcW w:w="828" w:type="dxa"/>
          </w:tcPr>
          <w:p w:rsidR="00A7258A" w:rsidRPr="009505D0" w:rsidRDefault="00EF0D5C" w:rsidP="00A7258A">
            <w:pPr>
              <w:spacing w:line="240" w:lineRule="auto"/>
              <w:rPr>
                <w:noProof/>
              </w:rPr>
            </w:pPr>
            <w:r>
              <w:rPr>
                <w:noProof/>
              </w:rPr>
              <w:t>1,2</w:t>
            </w:r>
          </w:p>
        </w:tc>
        <w:tc>
          <w:tcPr>
            <w:tcW w:w="12348" w:type="dxa"/>
            <w:gridSpan w:val="8"/>
          </w:tcPr>
          <w:p w:rsidR="00A7258A" w:rsidRPr="008C4BB4" w:rsidRDefault="00A7258A" w:rsidP="00A7258A">
            <w:pPr>
              <w:spacing w:line="240" w:lineRule="auto"/>
            </w:pPr>
            <w:r>
              <w:rPr>
                <w:b/>
              </w:rPr>
              <w:t>2.</w:t>
            </w:r>
            <w:r w:rsidR="008C4BB4">
              <w:rPr>
                <w:b/>
              </w:rPr>
              <w:t xml:space="preserve">  </w:t>
            </w:r>
            <w:r w:rsidR="008C4BB4">
              <w:t xml:space="preserve">If the school has a sponsoring bank, encourage them to participate in an internship placement, however any bank or credit union is a prospective placement location. </w:t>
            </w:r>
          </w:p>
        </w:tc>
      </w:tr>
      <w:tr w:rsidR="00A7258A" w:rsidTr="00A7258A">
        <w:trPr>
          <w:trHeight w:val="359"/>
        </w:trPr>
        <w:tc>
          <w:tcPr>
            <w:tcW w:w="828" w:type="dxa"/>
          </w:tcPr>
          <w:p w:rsidR="00A7258A" w:rsidRPr="009505D0" w:rsidRDefault="00EF0D5C" w:rsidP="00A7258A">
            <w:pPr>
              <w:spacing w:line="240" w:lineRule="auto"/>
              <w:rPr>
                <w:noProof/>
              </w:rPr>
            </w:pPr>
            <w:r>
              <w:rPr>
                <w:noProof/>
              </w:rPr>
              <w:t>1,2</w:t>
            </w:r>
          </w:p>
        </w:tc>
        <w:tc>
          <w:tcPr>
            <w:tcW w:w="12348" w:type="dxa"/>
            <w:gridSpan w:val="8"/>
          </w:tcPr>
          <w:p w:rsidR="00A7258A" w:rsidRPr="00B6611E" w:rsidRDefault="00A7258A" w:rsidP="00B6611E">
            <w:pPr>
              <w:spacing w:line="240" w:lineRule="auto"/>
            </w:pPr>
            <w:r>
              <w:rPr>
                <w:b/>
              </w:rPr>
              <w:t>3.</w:t>
            </w:r>
            <w:r w:rsidR="00B6611E">
              <w:rPr>
                <w:b/>
              </w:rPr>
              <w:t xml:space="preserve">  </w:t>
            </w:r>
            <w:r w:rsidR="00B6611E">
              <w:t>The instructor will sit with the intern weekly to provide advice and give feedback to challenges faced in the banking workplace.  Any warning signs will be addressed with the sponsoring bank manager on a one on one basis.</w:t>
            </w:r>
          </w:p>
        </w:tc>
      </w:tr>
      <w:tr w:rsidR="00A7258A" w:rsidTr="00A7258A">
        <w:trPr>
          <w:trHeight w:val="466"/>
        </w:trPr>
        <w:tc>
          <w:tcPr>
            <w:tcW w:w="828" w:type="dxa"/>
          </w:tcPr>
          <w:p w:rsidR="00A7258A" w:rsidRPr="00C44E14" w:rsidRDefault="00A7258A" w:rsidP="00A7258A">
            <w:pPr>
              <w:spacing w:line="240" w:lineRule="auto"/>
              <w:rPr>
                <w:b/>
              </w:rPr>
            </w:pPr>
            <w:r w:rsidRPr="00C44E14">
              <w:rPr>
                <w:b/>
              </w:rPr>
              <w:t>Obj. #</w:t>
            </w:r>
          </w:p>
        </w:tc>
        <w:tc>
          <w:tcPr>
            <w:tcW w:w="12348" w:type="dxa"/>
            <w:gridSpan w:val="8"/>
          </w:tcPr>
          <w:p w:rsidR="00A7258A" w:rsidRPr="003A7E69" w:rsidRDefault="00A7258A" w:rsidP="00A7258A">
            <w:pPr>
              <w:spacing w:line="240" w:lineRule="auto"/>
              <w:rPr>
                <w:b/>
                <w:color w:val="A6A6A6"/>
                <w:sz w:val="18"/>
              </w:rPr>
            </w:pPr>
            <w:r w:rsidRPr="00C44E14">
              <w:rPr>
                <w:b/>
              </w:rPr>
              <w:t xml:space="preserve">INSTRUCTIONAL ACTIVITIES: </w:t>
            </w:r>
            <w:r w:rsidRPr="00C44E14">
              <w:rPr>
                <w:b/>
                <w:sz w:val="18"/>
              </w:rPr>
              <w:t>(What Students Do)</w:t>
            </w:r>
          </w:p>
        </w:tc>
      </w:tr>
      <w:tr w:rsidR="00A7258A" w:rsidTr="00A7258A">
        <w:trPr>
          <w:trHeight w:val="466"/>
        </w:trPr>
        <w:tc>
          <w:tcPr>
            <w:tcW w:w="828" w:type="dxa"/>
          </w:tcPr>
          <w:p w:rsidR="00A7258A" w:rsidRPr="009505D0" w:rsidRDefault="00EF0D5C" w:rsidP="00A7258A">
            <w:pPr>
              <w:spacing w:line="240" w:lineRule="auto"/>
              <w:rPr>
                <w:noProof/>
              </w:rPr>
            </w:pPr>
            <w:r>
              <w:rPr>
                <w:noProof/>
              </w:rPr>
              <w:t>1,2</w:t>
            </w:r>
          </w:p>
        </w:tc>
        <w:tc>
          <w:tcPr>
            <w:tcW w:w="12348" w:type="dxa"/>
            <w:gridSpan w:val="8"/>
          </w:tcPr>
          <w:p w:rsidR="00A7258A" w:rsidRPr="008C4BB4" w:rsidRDefault="00A7258A" w:rsidP="008C4BB4">
            <w:pPr>
              <w:spacing w:line="240" w:lineRule="auto"/>
            </w:pPr>
            <w:r>
              <w:rPr>
                <w:b/>
              </w:rPr>
              <w:t>1.</w:t>
            </w:r>
            <w:r w:rsidR="008C4BB4">
              <w:rPr>
                <w:b/>
              </w:rPr>
              <w:t xml:space="preserve">  </w:t>
            </w:r>
            <w:r w:rsidR="008C4BB4">
              <w:t xml:space="preserve">Students will apply for internship positions whenever any opening for a teller becomes available. Use the resume developed to apply for a student bank position and the developed skills that come from money handling and transaction activity to apply for a position at a bank. </w:t>
            </w:r>
          </w:p>
        </w:tc>
      </w:tr>
      <w:tr w:rsidR="00A7258A" w:rsidTr="00A7258A">
        <w:trPr>
          <w:trHeight w:val="466"/>
        </w:trPr>
        <w:tc>
          <w:tcPr>
            <w:tcW w:w="828" w:type="dxa"/>
          </w:tcPr>
          <w:p w:rsidR="00A7258A" w:rsidRPr="009505D0" w:rsidRDefault="00EF0D5C" w:rsidP="00A7258A">
            <w:pPr>
              <w:spacing w:line="240" w:lineRule="auto"/>
              <w:rPr>
                <w:noProof/>
              </w:rPr>
            </w:pPr>
            <w:r>
              <w:rPr>
                <w:noProof/>
              </w:rPr>
              <w:t>1,2</w:t>
            </w:r>
          </w:p>
        </w:tc>
        <w:tc>
          <w:tcPr>
            <w:tcW w:w="12348" w:type="dxa"/>
            <w:gridSpan w:val="8"/>
          </w:tcPr>
          <w:p w:rsidR="00A7258A" w:rsidRPr="008C4BB4" w:rsidRDefault="00A7258A" w:rsidP="00A7258A">
            <w:pPr>
              <w:spacing w:line="240" w:lineRule="auto"/>
            </w:pPr>
            <w:r>
              <w:rPr>
                <w:b/>
              </w:rPr>
              <w:t>2.</w:t>
            </w:r>
            <w:r w:rsidR="008C4BB4">
              <w:rPr>
                <w:b/>
              </w:rPr>
              <w:t xml:space="preserve">  </w:t>
            </w:r>
            <w:r w:rsidR="008C4BB4">
              <w:t>Students will be evaluated every thirty days by the sponsoring b</w:t>
            </w:r>
            <w:r w:rsidR="00B6611E">
              <w:t xml:space="preserve">ank and the course instructor. The student serving an internship should give the banking class a weekly rundown of lessons learned. </w:t>
            </w:r>
          </w:p>
        </w:tc>
      </w:tr>
      <w:tr w:rsidR="00A7258A" w:rsidTr="00A7258A">
        <w:trPr>
          <w:trHeight w:val="466"/>
        </w:trPr>
        <w:tc>
          <w:tcPr>
            <w:tcW w:w="828" w:type="dxa"/>
          </w:tcPr>
          <w:p w:rsidR="00A7258A" w:rsidRPr="009505D0" w:rsidRDefault="00EF0D5C" w:rsidP="00A7258A">
            <w:pPr>
              <w:spacing w:line="240" w:lineRule="auto"/>
              <w:rPr>
                <w:noProof/>
              </w:rPr>
            </w:pPr>
            <w:r>
              <w:rPr>
                <w:noProof/>
              </w:rPr>
              <w:t>1,2</w:t>
            </w:r>
          </w:p>
        </w:tc>
        <w:tc>
          <w:tcPr>
            <w:tcW w:w="12348" w:type="dxa"/>
            <w:gridSpan w:val="8"/>
          </w:tcPr>
          <w:p w:rsidR="00A7258A" w:rsidRPr="00B6611E" w:rsidRDefault="00A7258A" w:rsidP="00A7258A">
            <w:pPr>
              <w:spacing w:line="240" w:lineRule="auto"/>
            </w:pPr>
            <w:r>
              <w:rPr>
                <w:b/>
              </w:rPr>
              <w:t>3.</w:t>
            </w:r>
            <w:r w:rsidR="00B6611E">
              <w:rPr>
                <w:b/>
              </w:rPr>
              <w:t xml:space="preserve">  </w:t>
            </w:r>
            <w:r w:rsidR="00B6611E">
              <w:t>At the ninety day mark of internship, the intern will be evaluated for fully trained status.  Experience has indicated that interns are retained as regular employees almost always.</w:t>
            </w:r>
          </w:p>
        </w:tc>
      </w:tr>
      <w:tr w:rsidR="00A7258A" w:rsidTr="00A7258A">
        <w:trPr>
          <w:trHeight w:val="466"/>
        </w:trPr>
        <w:tc>
          <w:tcPr>
            <w:tcW w:w="13176" w:type="dxa"/>
            <w:gridSpan w:val="9"/>
          </w:tcPr>
          <w:p w:rsidR="00A7258A" w:rsidRDefault="00A7258A" w:rsidP="00A7258A">
            <w:pPr>
              <w:spacing w:line="240" w:lineRule="auto"/>
              <w:rPr>
                <w:b/>
              </w:rPr>
            </w:pPr>
            <w:r w:rsidRPr="00C44E14">
              <w:rPr>
                <w:b/>
              </w:rPr>
              <w:t>UNIT RESOURCES: (include internet addresses for linking)</w:t>
            </w:r>
          </w:p>
          <w:p w:rsidR="004506D9" w:rsidRDefault="004506D9" w:rsidP="004506D9">
            <w:pPr>
              <w:spacing w:after="0" w:line="240" w:lineRule="auto"/>
              <w:rPr>
                <w:b/>
              </w:rPr>
            </w:pPr>
            <w:r>
              <w:rPr>
                <w:b/>
              </w:rPr>
              <w:t>Textbook suggestion: Banking &amp; Financial Systems, 2013 by The Goodheart-Willcox Company, Inc.: print 139781605257785</w:t>
            </w:r>
          </w:p>
          <w:p w:rsidR="004506D9" w:rsidRDefault="004506D9" w:rsidP="004506D9">
            <w:pPr>
              <w:spacing w:after="0" w:line="240" w:lineRule="auto"/>
              <w:rPr>
                <w:b/>
              </w:rPr>
            </w:pPr>
            <w:r>
              <w:rPr>
                <w:b/>
              </w:rPr>
              <w:t>Textbook suggestion: Personal Finance, 2012 by Kapoor, Dlabay, Hughes - McGraw-Hill: print 139780073530697</w:t>
            </w:r>
          </w:p>
          <w:p w:rsidR="00A7258A" w:rsidRDefault="004506D9" w:rsidP="004506D9">
            <w:pPr>
              <w:spacing w:after="0" w:line="240" w:lineRule="auto"/>
              <w:rPr>
                <w:b/>
              </w:rPr>
            </w:pPr>
            <w:r>
              <w:rPr>
                <w:b/>
              </w:rPr>
              <w:t>Textbook suggestion: Banking Systems, 2</w:t>
            </w:r>
            <w:r w:rsidRPr="009C5821">
              <w:rPr>
                <w:b/>
                <w:vertAlign w:val="superscript"/>
              </w:rPr>
              <w:t>nd</w:t>
            </w:r>
            <w:r>
              <w:rPr>
                <w:b/>
              </w:rPr>
              <w:t xml:space="preserve"> edition 2010, </w:t>
            </w:r>
            <w:proofErr w:type="spellStart"/>
            <w:r>
              <w:rPr>
                <w:b/>
              </w:rPr>
              <w:t>Cengage</w:t>
            </w:r>
            <w:proofErr w:type="spellEnd"/>
            <w:r>
              <w:rPr>
                <w:b/>
              </w:rPr>
              <w:t xml:space="preserve"> Learning: </w:t>
            </w:r>
            <w:proofErr w:type="spellStart"/>
            <w:r>
              <w:rPr>
                <w:b/>
              </w:rPr>
              <w:t>eText</w:t>
            </w:r>
            <w:proofErr w:type="spellEnd"/>
            <w:r>
              <w:rPr>
                <w:b/>
              </w:rPr>
              <w:t xml:space="preserve"> 139781439028483, print 139780538449281</w:t>
            </w:r>
          </w:p>
          <w:p w:rsidR="00466045" w:rsidRDefault="00466045" w:rsidP="004506D9">
            <w:pPr>
              <w:spacing w:after="0" w:line="240" w:lineRule="auto"/>
              <w:rPr>
                <w:b/>
              </w:rPr>
            </w:pPr>
          </w:p>
          <w:p w:rsidR="00466045" w:rsidRDefault="00466045" w:rsidP="00466045">
            <w:pPr>
              <w:spacing w:after="0" w:line="240" w:lineRule="auto"/>
              <w:outlineLvl w:val="0"/>
              <w:rPr>
                <w:rFonts w:asciiTheme="minorHAnsi" w:eastAsia="Times New Roman" w:hAnsiTheme="minorHAnsi"/>
                <w:b/>
                <w:bCs/>
                <w:kern w:val="36"/>
                <w:lang w:eastAsia="zh-CN"/>
              </w:rPr>
            </w:pPr>
            <w:r>
              <w:rPr>
                <w:rFonts w:asciiTheme="minorHAnsi" w:eastAsia="Times New Roman" w:hAnsiTheme="minorHAnsi"/>
                <w:b/>
                <w:bCs/>
                <w:kern w:val="36"/>
                <w:lang w:eastAsia="zh-CN"/>
              </w:rPr>
              <w:t>Resources @ MCCE:</w:t>
            </w:r>
          </w:p>
          <w:p w:rsidR="00466045" w:rsidRPr="00466045" w:rsidRDefault="00466045" w:rsidP="00466045">
            <w:pPr>
              <w:spacing w:after="0" w:line="240" w:lineRule="auto"/>
              <w:outlineLvl w:val="0"/>
              <w:rPr>
                <w:rFonts w:asciiTheme="minorHAnsi" w:eastAsia="Times New Roman" w:hAnsiTheme="minorHAnsi"/>
                <w:b/>
                <w:bCs/>
                <w:lang w:eastAsia="zh-CN"/>
              </w:rPr>
            </w:pPr>
            <w:r w:rsidRPr="00466045">
              <w:rPr>
                <w:rFonts w:asciiTheme="minorHAnsi" w:eastAsia="Times New Roman" w:hAnsiTheme="minorHAnsi"/>
                <w:b/>
                <w:bCs/>
                <w:kern w:val="36"/>
                <w:lang w:eastAsia="zh-CN"/>
              </w:rPr>
              <w:t>BE DVD ROM 11</w:t>
            </w:r>
            <w:r>
              <w:rPr>
                <w:rFonts w:asciiTheme="minorHAnsi" w:eastAsia="Times New Roman" w:hAnsiTheme="minorHAnsi"/>
                <w:b/>
                <w:bCs/>
                <w:kern w:val="36"/>
                <w:lang w:eastAsia="zh-CN"/>
              </w:rPr>
              <w:t xml:space="preserve"> - </w:t>
            </w:r>
            <w:r w:rsidRPr="00466045">
              <w:rPr>
                <w:rFonts w:asciiTheme="minorHAnsi" w:eastAsia="Times New Roman" w:hAnsiTheme="minorHAnsi"/>
                <w:b/>
                <w:bCs/>
                <w:lang w:eastAsia="zh-CN"/>
              </w:rPr>
              <w:t>Partnership Prospecting for Chapter Advisors</w:t>
            </w:r>
          </w:p>
          <w:p w:rsidR="00466045" w:rsidRPr="00466045" w:rsidRDefault="00466045" w:rsidP="00466045">
            <w:pPr>
              <w:spacing w:after="0" w:line="240" w:lineRule="auto"/>
              <w:rPr>
                <w:rFonts w:asciiTheme="minorHAnsi" w:eastAsia="Times New Roman" w:hAnsiTheme="minorHAnsi"/>
                <w:lang w:eastAsia="zh-CN"/>
              </w:rPr>
            </w:pPr>
            <w:r w:rsidRPr="00466045">
              <w:rPr>
                <w:rFonts w:asciiTheme="minorHAnsi" w:eastAsia="Times New Roman" w:hAnsiTheme="minorHAnsi"/>
                <w:lang w:eastAsia="zh-CN"/>
              </w:rPr>
              <w:lastRenderedPageBreak/>
              <w:t>Rich King</w:t>
            </w:r>
            <w:r w:rsidRPr="00466045">
              <w:rPr>
                <w:rFonts w:asciiTheme="minorHAnsi" w:eastAsia="Times New Roman" w:hAnsiTheme="minorHAnsi"/>
                <w:lang w:eastAsia="zh-CN"/>
              </w:rPr>
              <w:br/>
              <w:t>SPOKANE, WA, ACUMEN DEVELOPMENT SYSTEMS, INC., 2004.</w:t>
            </w:r>
            <w:r w:rsidRPr="00466045">
              <w:rPr>
                <w:rFonts w:asciiTheme="minorHAnsi" w:eastAsia="Times New Roman" w:hAnsiTheme="minorHAnsi"/>
                <w:lang w:eastAsia="zh-CN"/>
              </w:rPr>
              <w:br/>
              <w:t xml:space="preserve">DVD ROM — This DVD program details a step-by-step approach to help chapter advisors focus in on and call upon select area companies to secure financial and in-kind donations, mentors for student officers, coaches to help prepare members for competitions, internships to provide invaluable work experience, regular speakers, volunteers, and more! The program takes Chapter Advisors through the prospecting process to include sorting opportunities; making an initial, compelling contact; follow-up telephone contact skills; and getting an appointment with a decision-maker. </w:t>
            </w:r>
          </w:p>
          <w:p w:rsidR="00466045" w:rsidRPr="00466045" w:rsidRDefault="00466045" w:rsidP="00466045">
            <w:pPr>
              <w:spacing w:after="0" w:line="240" w:lineRule="auto"/>
              <w:rPr>
                <w:rFonts w:asciiTheme="minorHAnsi" w:hAnsiTheme="minorHAnsi"/>
                <w:b/>
              </w:rPr>
            </w:pPr>
          </w:p>
          <w:p w:rsidR="00466045" w:rsidRPr="00466045" w:rsidRDefault="00466045" w:rsidP="00466045">
            <w:pPr>
              <w:pStyle w:val="Heading1"/>
              <w:spacing w:before="0" w:beforeAutospacing="0" w:after="0" w:afterAutospacing="0"/>
              <w:rPr>
                <w:rFonts w:asciiTheme="minorHAnsi" w:hAnsiTheme="minorHAnsi"/>
                <w:sz w:val="22"/>
                <w:szCs w:val="22"/>
              </w:rPr>
            </w:pPr>
            <w:r w:rsidRPr="00466045">
              <w:rPr>
                <w:rFonts w:asciiTheme="minorHAnsi" w:hAnsiTheme="minorHAnsi"/>
                <w:sz w:val="22"/>
                <w:szCs w:val="22"/>
              </w:rPr>
              <w:t>C&amp;E DVD ROM 24</w:t>
            </w:r>
            <w:r>
              <w:rPr>
                <w:rFonts w:asciiTheme="minorHAnsi" w:hAnsiTheme="minorHAnsi"/>
                <w:sz w:val="22"/>
                <w:szCs w:val="22"/>
              </w:rPr>
              <w:t xml:space="preserve"> - </w:t>
            </w:r>
            <w:r w:rsidRPr="00466045">
              <w:rPr>
                <w:rFonts w:asciiTheme="minorHAnsi" w:hAnsiTheme="minorHAnsi"/>
                <w:sz w:val="22"/>
                <w:szCs w:val="22"/>
              </w:rPr>
              <w:t>Career Exploration &amp; Planning: What Will I Do With My Life?</w:t>
            </w:r>
          </w:p>
          <w:p w:rsidR="00466045" w:rsidRPr="00466045" w:rsidRDefault="00466045" w:rsidP="00466045">
            <w:pPr>
              <w:pStyle w:val="NormalWeb"/>
              <w:spacing w:before="0" w:beforeAutospacing="0" w:after="0" w:afterAutospacing="0"/>
              <w:rPr>
                <w:rFonts w:asciiTheme="minorHAnsi" w:hAnsiTheme="minorHAnsi"/>
                <w:sz w:val="22"/>
                <w:szCs w:val="22"/>
              </w:rPr>
            </w:pPr>
            <w:r w:rsidRPr="00466045">
              <w:rPr>
                <w:rStyle w:val="info"/>
                <w:rFonts w:asciiTheme="minorHAnsi" w:hAnsiTheme="minorHAnsi"/>
                <w:sz w:val="22"/>
                <w:szCs w:val="22"/>
              </w:rPr>
              <w:t>LINX Educational, Inc</w:t>
            </w:r>
            <w:proofErr w:type="gramStart"/>
            <w:r w:rsidRPr="00466045">
              <w:rPr>
                <w:rStyle w:val="info"/>
                <w:rFonts w:asciiTheme="minorHAnsi" w:hAnsiTheme="minorHAnsi"/>
                <w:sz w:val="22"/>
                <w:szCs w:val="22"/>
              </w:rPr>
              <w:t>.</w:t>
            </w:r>
            <w:proofErr w:type="gramEnd"/>
            <w:r w:rsidRPr="00466045">
              <w:rPr>
                <w:rFonts w:asciiTheme="minorHAnsi" w:hAnsiTheme="minorHAnsi"/>
                <w:sz w:val="22"/>
                <w:szCs w:val="22"/>
              </w:rPr>
              <w:br/>
            </w:r>
            <w:r w:rsidRPr="00466045">
              <w:rPr>
                <w:rStyle w:val="info"/>
                <w:rFonts w:asciiTheme="minorHAnsi" w:hAnsiTheme="minorHAnsi"/>
                <w:sz w:val="22"/>
                <w:szCs w:val="22"/>
              </w:rPr>
              <w:t>JACKSONVILLE BEACH, FL, LINX EDUCATIONAL, INC., 2003.</w:t>
            </w:r>
            <w:r w:rsidRPr="00466045">
              <w:rPr>
                <w:rFonts w:asciiTheme="minorHAnsi" w:hAnsiTheme="minorHAnsi"/>
                <w:sz w:val="22"/>
                <w:szCs w:val="22"/>
              </w:rPr>
              <w:br/>
              <w:t>DVD ROM — This program helps the viewer look at ways to explore career fields to learn more about the options. It tells how to assess interests, skills, and abilities and suggests ways to use the "Occupational Outlook Handbook" and "O*NET Guide" to match up with the right career. Then it shows how to begin planning for the career you want...what education or training is needed, any licensing or certification required. Suggests job shadowing, internships, volunteering, and part-time jobs to learn more about a career field. Grades 6-12. 25 minutes.</w:t>
            </w:r>
          </w:p>
          <w:p w:rsidR="00466045" w:rsidRPr="00466045" w:rsidRDefault="00466045" w:rsidP="00466045">
            <w:pPr>
              <w:spacing w:after="0" w:line="240" w:lineRule="auto"/>
              <w:rPr>
                <w:rFonts w:asciiTheme="minorHAnsi" w:hAnsiTheme="minorHAnsi"/>
                <w:b/>
              </w:rPr>
            </w:pPr>
          </w:p>
          <w:p w:rsidR="00466045" w:rsidRPr="00466045" w:rsidRDefault="00466045" w:rsidP="00466045">
            <w:pPr>
              <w:pStyle w:val="Heading1"/>
              <w:spacing w:before="0" w:beforeAutospacing="0" w:after="0" w:afterAutospacing="0"/>
              <w:rPr>
                <w:rFonts w:asciiTheme="minorHAnsi" w:hAnsiTheme="minorHAnsi"/>
                <w:sz w:val="22"/>
                <w:szCs w:val="22"/>
              </w:rPr>
            </w:pPr>
            <w:r w:rsidRPr="00466045">
              <w:rPr>
                <w:rFonts w:asciiTheme="minorHAnsi" w:hAnsiTheme="minorHAnsi"/>
                <w:sz w:val="22"/>
                <w:szCs w:val="22"/>
              </w:rPr>
              <w:t>C&amp;E 10.0050 CDJS24</w:t>
            </w:r>
            <w:r>
              <w:rPr>
                <w:rFonts w:asciiTheme="minorHAnsi" w:hAnsiTheme="minorHAnsi"/>
                <w:sz w:val="22"/>
                <w:szCs w:val="22"/>
              </w:rPr>
              <w:t xml:space="preserve"> - </w:t>
            </w:r>
            <w:r w:rsidRPr="00466045">
              <w:rPr>
                <w:rFonts w:asciiTheme="minorHAnsi" w:hAnsiTheme="minorHAnsi"/>
                <w:sz w:val="22"/>
                <w:szCs w:val="22"/>
              </w:rPr>
              <w:t>Creating Your High School Portfolio: A Guide for Documenting and Planning Your Education, Career, and Life, Third Edition</w:t>
            </w:r>
          </w:p>
          <w:p w:rsidR="00466045" w:rsidRPr="00466045" w:rsidRDefault="00466045" w:rsidP="00466045">
            <w:pPr>
              <w:pStyle w:val="NormalWeb"/>
              <w:spacing w:before="0" w:beforeAutospacing="0" w:after="0" w:afterAutospacing="0"/>
            </w:pPr>
            <w:r w:rsidRPr="00466045">
              <w:rPr>
                <w:rStyle w:val="info"/>
                <w:rFonts w:asciiTheme="minorHAnsi" w:hAnsiTheme="minorHAnsi"/>
                <w:sz w:val="22"/>
                <w:szCs w:val="22"/>
              </w:rPr>
              <w:t>The Editors @ JIST</w:t>
            </w:r>
            <w:r w:rsidRPr="00466045">
              <w:rPr>
                <w:rFonts w:asciiTheme="minorHAnsi" w:hAnsiTheme="minorHAnsi"/>
                <w:sz w:val="22"/>
                <w:szCs w:val="22"/>
              </w:rPr>
              <w:br/>
            </w:r>
            <w:r w:rsidRPr="00466045">
              <w:rPr>
                <w:rStyle w:val="info"/>
                <w:rFonts w:asciiTheme="minorHAnsi" w:hAnsiTheme="minorHAnsi"/>
                <w:sz w:val="22"/>
                <w:szCs w:val="22"/>
              </w:rPr>
              <w:t>INDIANAPOLIS, IN, JIST PUBLISHING, 2009.</w:t>
            </w:r>
            <w:r w:rsidRPr="00466045">
              <w:rPr>
                <w:rFonts w:asciiTheme="minorHAnsi" w:hAnsiTheme="minorHAnsi"/>
                <w:sz w:val="22"/>
                <w:szCs w:val="22"/>
              </w:rPr>
              <w:br/>
              <w:t>BOOK — Student guide for planning and documenting their education and future. Worksheets and activities take students through self-assessment, education and career planning, and portfolio development (including electronic portfolios). Shows how to create a unique portfolio that showcases performance, special skills, course accomplishments, and other successes. Students also learn how to begin a professional portfolio. Can be used as a complete curriculum or as part of a course or program that includes portfolio development.</w:t>
            </w:r>
            <w:r>
              <w:t xml:space="preserve"> </w:t>
            </w:r>
          </w:p>
        </w:tc>
      </w:tr>
    </w:tbl>
    <w:p w:rsidR="00A7258A" w:rsidRPr="00323BA3" w:rsidRDefault="00A7258A" w:rsidP="00A7258A">
      <w:pPr>
        <w:rPr>
          <w:color w:val="FF0000"/>
        </w:rPr>
      </w:pPr>
    </w:p>
    <w:sectPr w:rsidR="00A7258A" w:rsidRPr="00323BA3" w:rsidSect="0072740F">
      <w:headerReference w:type="default" r:id="rId12"/>
      <w:footerReference w:type="default" r:id="rId13"/>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1A" w:rsidRDefault="00F2421A" w:rsidP="00FD5A4D">
      <w:pPr>
        <w:spacing w:after="0" w:line="240" w:lineRule="auto"/>
      </w:pPr>
      <w:r>
        <w:separator/>
      </w:r>
    </w:p>
  </w:endnote>
  <w:endnote w:type="continuationSeparator" w:id="0">
    <w:p w:rsidR="00F2421A" w:rsidRDefault="00F2421A" w:rsidP="00FD5A4D">
      <w:pPr>
        <w:spacing w:after="0" w:line="240" w:lineRule="auto"/>
      </w:pPr>
      <w:r>
        <w:continuationSeparator/>
      </w:r>
    </w:p>
  </w:endnote>
  <w:endnote w:type="continuationNotice" w:id="1">
    <w:p w:rsidR="00F2421A" w:rsidRDefault="00F24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FB4" w:rsidRDefault="00010FB4" w:rsidP="001731D1">
    <w:pPr>
      <w:pStyle w:val="Footer"/>
      <w:jc w:val="center"/>
    </w:pPr>
    <w:r>
      <w:t xml:space="preserve">2011    </w:t>
    </w:r>
    <w:r>
      <w:tab/>
      <w:t>Missouri Department of Elementary and Secondary Education</w:t>
    </w:r>
    <w:r>
      <w:tab/>
    </w:r>
    <w:r>
      <w:tab/>
      <w:t xml:space="preserve">Page </w:t>
    </w:r>
    <w:r w:rsidR="00525CBB">
      <w:rPr>
        <w:b/>
        <w:sz w:val="24"/>
        <w:szCs w:val="24"/>
      </w:rPr>
      <w:fldChar w:fldCharType="begin"/>
    </w:r>
    <w:r>
      <w:rPr>
        <w:b/>
      </w:rPr>
      <w:instrText xml:space="preserve"> PAGE </w:instrText>
    </w:r>
    <w:r w:rsidR="00525CBB">
      <w:rPr>
        <w:b/>
        <w:sz w:val="24"/>
        <w:szCs w:val="24"/>
      </w:rPr>
      <w:fldChar w:fldCharType="separate"/>
    </w:r>
    <w:r w:rsidR="00466045">
      <w:rPr>
        <w:b/>
        <w:noProof/>
      </w:rPr>
      <w:t>1</w:t>
    </w:r>
    <w:r w:rsidR="00525CBB">
      <w:rPr>
        <w:b/>
        <w:sz w:val="24"/>
        <w:szCs w:val="24"/>
      </w:rPr>
      <w:fldChar w:fldCharType="end"/>
    </w:r>
    <w:r>
      <w:t xml:space="preserve"> of </w:t>
    </w:r>
    <w:r w:rsidR="00525CBB">
      <w:rPr>
        <w:b/>
        <w:sz w:val="24"/>
        <w:szCs w:val="24"/>
      </w:rPr>
      <w:fldChar w:fldCharType="begin"/>
    </w:r>
    <w:r>
      <w:rPr>
        <w:b/>
      </w:rPr>
      <w:instrText xml:space="preserve"> NUMPAGES  </w:instrText>
    </w:r>
    <w:r w:rsidR="00525CBB">
      <w:rPr>
        <w:b/>
        <w:sz w:val="24"/>
        <w:szCs w:val="24"/>
      </w:rPr>
      <w:fldChar w:fldCharType="separate"/>
    </w:r>
    <w:r w:rsidR="00466045">
      <w:rPr>
        <w:b/>
        <w:noProof/>
      </w:rPr>
      <w:t>4</w:t>
    </w:r>
    <w:r w:rsidR="00525CBB">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1A" w:rsidRDefault="00F2421A" w:rsidP="00FD5A4D">
      <w:pPr>
        <w:spacing w:after="0" w:line="240" w:lineRule="auto"/>
      </w:pPr>
      <w:r>
        <w:separator/>
      </w:r>
    </w:p>
  </w:footnote>
  <w:footnote w:type="continuationSeparator" w:id="0">
    <w:p w:rsidR="00F2421A" w:rsidRDefault="00F2421A" w:rsidP="00FD5A4D">
      <w:pPr>
        <w:spacing w:after="0" w:line="240" w:lineRule="auto"/>
      </w:pPr>
      <w:r>
        <w:continuationSeparator/>
      </w:r>
    </w:p>
  </w:footnote>
  <w:footnote w:type="continuationNotice" w:id="1">
    <w:p w:rsidR="00F2421A" w:rsidRDefault="00F242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FB4" w:rsidRPr="006D3450" w:rsidRDefault="00010FB4" w:rsidP="00FD5A4D">
    <w:pPr>
      <w:pStyle w:val="Header"/>
      <w:jc w:val="center"/>
      <w:rPr>
        <w:b/>
        <w:sz w:val="24"/>
        <w:szCs w:val="24"/>
      </w:rPr>
    </w:pPr>
    <w:r>
      <w:rPr>
        <w:b/>
        <w:sz w:val="24"/>
        <w:szCs w:val="24"/>
      </w:rPr>
      <w:t xml:space="preserve"> DESE Model Curriculum </w:t>
    </w:r>
  </w:p>
  <w:p w:rsidR="00010FB4" w:rsidRDefault="00010FB4" w:rsidP="0015225E">
    <w:pPr>
      <w:pStyle w:val="Header"/>
    </w:pPr>
    <w:r>
      <w:t xml:space="preserve">GRADE LEVEL/UNIT TITLE:  </w:t>
    </w:r>
    <w:r w:rsidR="007D4C21">
      <w:t>11-12/Banking Internship</w:t>
    </w:r>
    <w:r>
      <w:tab/>
      <w:t xml:space="preserve"> Course Code: 034303</w:t>
    </w:r>
    <w:r w:rsidR="007D4C21" w:rsidRPr="007D4C21">
      <w:t xml:space="preserve"> </w:t>
    </w:r>
    <w:r w:rsidR="007D4C21">
      <w:tab/>
    </w:r>
    <w:r w:rsidR="007D4C21">
      <w:t>CIP Code:  52.0803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CE7"/>
    <w:multiLevelType w:val="hybridMultilevel"/>
    <w:tmpl w:val="B7C0D868"/>
    <w:lvl w:ilvl="0" w:tplc="F33ABC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712B3"/>
    <w:multiLevelType w:val="hybridMultilevel"/>
    <w:tmpl w:val="AA40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38211D"/>
    <w:multiLevelType w:val="hybridMultilevel"/>
    <w:tmpl w:val="9E3A9B5C"/>
    <w:lvl w:ilvl="0" w:tplc="3F923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146AC"/>
    <w:multiLevelType w:val="hybridMultilevel"/>
    <w:tmpl w:val="B1D6F7E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0F133A"/>
    <w:multiLevelType w:val="hybridMultilevel"/>
    <w:tmpl w:val="5CE0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E511C"/>
    <w:multiLevelType w:val="hybridMultilevel"/>
    <w:tmpl w:val="B646477A"/>
    <w:lvl w:ilvl="0" w:tplc="2FC28D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D21B6"/>
    <w:multiLevelType w:val="hybridMultilevel"/>
    <w:tmpl w:val="3386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6E0618"/>
    <w:multiLevelType w:val="hybridMultilevel"/>
    <w:tmpl w:val="8558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52CC8"/>
    <w:multiLevelType w:val="hybridMultilevel"/>
    <w:tmpl w:val="551ED404"/>
    <w:lvl w:ilvl="0" w:tplc="BF907B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7E15E3"/>
    <w:multiLevelType w:val="hybridMultilevel"/>
    <w:tmpl w:val="2E2C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D1216C"/>
    <w:multiLevelType w:val="hybridMultilevel"/>
    <w:tmpl w:val="7EF86D42"/>
    <w:lvl w:ilvl="0" w:tplc="51D860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BC40A4"/>
    <w:multiLevelType w:val="hybridMultilevel"/>
    <w:tmpl w:val="0972A33A"/>
    <w:lvl w:ilvl="0" w:tplc="0F6E4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3"/>
  </w:num>
  <w:num w:numId="3">
    <w:abstractNumId w:val="17"/>
  </w:num>
  <w:num w:numId="4">
    <w:abstractNumId w:val="8"/>
  </w:num>
  <w:num w:numId="5">
    <w:abstractNumId w:val="13"/>
  </w:num>
  <w:num w:numId="6">
    <w:abstractNumId w:val="5"/>
  </w:num>
  <w:num w:numId="7">
    <w:abstractNumId w:val="10"/>
  </w:num>
  <w:num w:numId="8">
    <w:abstractNumId w:val="21"/>
  </w:num>
  <w:num w:numId="9">
    <w:abstractNumId w:val="4"/>
  </w:num>
  <w:num w:numId="10">
    <w:abstractNumId w:val="3"/>
  </w:num>
  <w:num w:numId="11">
    <w:abstractNumId w:val="20"/>
  </w:num>
  <w:num w:numId="12">
    <w:abstractNumId w:val="9"/>
  </w:num>
  <w:num w:numId="13">
    <w:abstractNumId w:val="6"/>
  </w:num>
  <w:num w:numId="14">
    <w:abstractNumId w:val="14"/>
  </w:num>
  <w:num w:numId="15">
    <w:abstractNumId w:val="11"/>
  </w:num>
  <w:num w:numId="16">
    <w:abstractNumId w:val="18"/>
  </w:num>
  <w:num w:numId="17">
    <w:abstractNumId w:val="15"/>
  </w:num>
  <w:num w:numId="18">
    <w:abstractNumId w:val="22"/>
  </w:num>
  <w:num w:numId="19">
    <w:abstractNumId w:val="16"/>
  </w:num>
  <w:num w:numId="20">
    <w:abstractNumId w:val="19"/>
  </w:num>
  <w:num w:numId="21">
    <w:abstractNumId w:val="12"/>
  </w:num>
  <w:num w:numId="22">
    <w:abstractNumId w:val="2"/>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rawingGridHorizontalSpacing w:val="110"/>
  <w:displayHorizontalDrawingGridEvery w:val="2"/>
  <w:characterSpacingControl w:val="doNotCompress"/>
  <w:hdrShapeDefaults>
    <o:shapedefaults v:ext="edit" spidmax="53249">
      <o:colormenu v:ext="edit" strokecolor="none"/>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A33DF8"/>
    <w:rsid w:val="00000127"/>
    <w:rsid w:val="00010FB4"/>
    <w:rsid w:val="000553C2"/>
    <w:rsid w:val="00075C23"/>
    <w:rsid w:val="000B1A54"/>
    <w:rsid w:val="000D72E2"/>
    <w:rsid w:val="000E2AB8"/>
    <w:rsid w:val="000E672B"/>
    <w:rsid w:val="000F12AC"/>
    <w:rsid w:val="000F24CF"/>
    <w:rsid w:val="000F47EE"/>
    <w:rsid w:val="0012219B"/>
    <w:rsid w:val="001270A2"/>
    <w:rsid w:val="0013604E"/>
    <w:rsid w:val="001367C0"/>
    <w:rsid w:val="0015225E"/>
    <w:rsid w:val="001522D0"/>
    <w:rsid w:val="001571DD"/>
    <w:rsid w:val="001731D1"/>
    <w:rsid w:val="001845FA"/>
    <w:rsid w:val="0018756F"/>
    <w:rsid w:val="001B1672"/>
    <w:rsid w:val="001B3773"/>
    <w:rsid w:val="001C64E7"/>
    <w:rsid w:val="001D0BF7"/>
    <w:rsid w:val="001F2F1A"/>
    <w:rsid w:val="001F5F00"/>
    <w:rsid w:val="001F7DC0"/>
    <w:rsid w:val="0020289B"/>
    <w:rsid w:val="00215B8B"/>
    <w:rsid w:val="00223F54"/>
    <w:rsid w:val="002316F3"/>
    <w:rsid w:val="00233170"/>
    <w:rsid w:val="00254338"/>
    <w:rsid w:val="00261911"/>
    <w:rsid w:val="00286FAE"/>
    <w:rsid w:val="002C16F9"/>
    <w:rsid w:val="00305E12"/>
    <w:rsid w:val="00321BC1"/>
    <w:rsid w:val="00323492"/>
    <w:rsid w:val="00323BA3"/>
    <w:rsid w:val="00342621"/>
    <w:rsid w:val="00355765"/>
    <w:rsid w:val="00357947"/>
    <w:rsid w:val="00366003"/>
    <w:rsid w:val="00391632"/>
    <w:rsid w:val="003A7E69"/>
    <w:rsid w:val="003B76EF"/>
    <w:rsid w:val="003F12F4"/>
    <w:rsid w:val="003F192D"/>
    <w:rsid w:val="003F1F66"/>
    <w:rsid w:val="004506D9"/>
    <w:rsid w:val="004633F6"/>
    <w:rsid w:val="00466045"/>
    <w:rsid w:val="00467E84"/>
    <w:rsid w:val="004871C5"/>
    <w:rsid w:val="004A65ED"/>
    <w:rsid w:val="004C1FB5"/>
    <w:rsid w:val="004D3F9D"/>
    <w:rsid w:val="004E43B4"/>
    <w:rsid w:val="004E48C1"/>
    <w:rsid w:val="00514FC1"/>
    <w:rsid w:val="00522002"/>
    <w:rsid w:val="00522C5E"/>
    <w:rsid w:val="00525CBB"/>
    <w:rsid w:val="00526777"/>
    <w:rsid w:val="00551A4A"/>
    <w:rsid w:val="00574E3C"/>
    <w:rsid w:val="005940E9"/>
    <w:rsid w:val="005D5AA1"/>
    <w:rsid w:val="005F174F"/>
    <w:rsid w:val="00607AF8"/>
    <w:rsid w:val="00613BA8"/>
    <w:rsid w:val="00621267"/>
    <w:rsid w:val="00632B74"/>
    <w:rsid w:val="006569A4"/>
    <w:rsid w:val="0069005C"/>
    <w:rsid w:val="00695161"/>
    <w:rsid w:val="006C59A6"/>
    <w:rsid w:val="006E2402"/>
    <w:rsid w:val="006E7A3D"/>
    <w:rsid w:val="00703F58"/>
    <w:rsid w:val="0072740F"/>
    <w:rsid w:val="00730E5C"/>
    <w:rsid w:val="0073478C"/>
    <w:rsid w:val="00744491"/>
    <w:rsid w:val="00745103"/>
    <w:rsid w:val="00751B9E"/>
    <w:rsid w:val="00754BC2"/>
    <w:rsid w:val="00787783"/>
    <w:rsid w:val="007900B4"/>
    <w:rsid w:val="007927E1"/>
    <w:rsid w:val="007A4E95"/>
    <w:rsid w:val="007D4C21"/>
    <w:rsid w:val="00801505"/>
    <w:rsid w:val="008057B5"/>
    <w:rsid w:val="00820990"/>
    <w:rsid w:val="008322A8"/>
    <w:rsid w:val="00845D03"/>
    <w:rsid w:val="0086478D"/>
    <w:rsid w:val="008B1BC2"/>
    <w:rsid w:val="008B5FD1"/>
    <w:rsid w:val="008B69A1"/>
    <w:rsid w:val="008C4BB4"/>
    <w:rsid w:val="008D6425"/>
    <w:rsid w:val="008E66A3"/>
    <w:rsid w:val="008E758B"/>
    <w:rsid w:val="008F4F2C"/>
    <w:rsid w:val="00917334"/>
    <w:rsid w:val="00933620"/>
    <w:rsid w:val="0094250B"/>
    <w:rsid w:val="009505D0"/>
    <w:rsid w:val="009619C6"/>
    <w:rsid w:val="00962332"/>
    <w:rsid w:val="00995209"/>
    <w:rsid w:val="009C2B9E"/>
    <w:rsid w:val="009F30BA"/>
    <w:rsid w:val="00A10EC7"/>
    <w:rsid w:val="00A130ED"/>
    <w:rsid w:val="00A1494A"/>
    <w:rsid w:val="00A33DF8"/>
    <w:rsid w:val="00A5553E"/>
    <w:rsid w:val="00A7258A"/>
    <w:rsid w:val="00AA195E"/>
    <w:rsid w:val="00AC243F"/>
    <w:rsid w:val="00B05472"/>
    <w:rsid w:val="00B05A7F"/>
    <w:rsid w:val="00B13A4E"/>
    <w:rsid w:val="00B14E2C"/>
    <w:rsid w:val="00B52FD3"/>
    <w:rsid w:val="00B6611E"/>
    <w:rsid w:val="00BB21C0"/>
    <w:rsid w:val="00BB7AD7"/>
    <w:rsid w:val="00BC09A6"/>
    <w:rsid w:val="00BC4316"/>
    <w:rsid w:val="00BC4C46"/>
    <w:rsid w:val="00C10270"/>
    <w:rsid w:val="00C107D5"/>
    <w:rsid w:val="00C11328"/>
    <w:rsid w:val="00C131A8"/>
    <w:rsid w:val="00C15E0C"/>
    <w:rsid w:val="00C303BA"/>
    <w:rsid w:val="00C4419E"/>
    <w:rsid w:val="00C44E14"/>
    <w:rsid w:val="00C70F0A"/>
    <w:rsid w:val="00C71FB7"/>
    <w:rsid w:val="00CC2865"/>
    <w:rsid w:val="00CD3B25"/>
    <w:rsid w:val="00CD43AD"/>
    <w:rsid w:val="00CD78B1"/>
    <w:rsid w:val="00CE3449"/>
    <w:rsid w:val="00D01C5F"/>
    <w:rsid w:val="00D12505"/>
    <w:rsid w:val="00D220BA"/>
    <w:rsid w:val="00D2305C"/>
    <w:rsid w:val="00D2622A"/>
    <w:rsid w:val="00D35DED"/>
    <w:rsid w:val="00D37A3A"/>
    <w:rsid w:val="00D43CF4"/>
    <w:rsid w:val="00D56C18"/>
    <w:rsid w:val="00D57E50"/>
    <w:rsid w:val="00D63C85"/>
    <w:rsid w:val="00D778E5"/>
    <w:rsid w:val="00D94E35"/>
    <w:rsid w:val="00DC5E54"/>
    <w:rsid w:val="00DD40DF"/>
    <w:rsid w:val="00E215AA"/>
    <w:rsid w:val="00E36D72"/>
    <w:rsid w:val="00E372C1"/>
    <w:rsid w:val="00E55D0C"/>
    <w:rsid w:val="00E5640C"/>
    <w:rsid w:val="00E63270"/>
    <w:rsid w:val="00E7591B"/>
    <w:rsid w:val="00E82EFB"/>
    <w:rsid w:val="00E86730"/>
    <w:rsid w:val="00EB36CA"/>
    <w:rsid w:val="00EF0D5C"/>
    <w:rsid w:val="00F072CD"/>
    <w:rsid w:val="00F2421A"/>
    <w:rsid w:val="00F25111"/>
    <w:rsid w:val="00F65B3E"/>
    <w:rsid w:val="00F815CD"/>
    <w:rsid w:val="00FA08B5"/>
    <w:rsid w:val="00FD5A4D"/>
    <w:rsid w:val="00FE34F5"/>
    <w:rsid w:val="00FF3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466045"/>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466045"/>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customStyle="1" w:styleId="Heading1Char">
    <w:name w:val="Heading 1 Char"/>
    <w:basedOn w:val="DefaultParagraphFont"/>
    <w:link w:val="Heading1"/>
    <w:uiPriority w:val="9"/>
    <w:rsid w:val="00466045"/>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466045"/>
    <w:rPr>
      <w:rFonts w:ascii="Times New Roman" w:eastAsia="Times New Roman" w:hAnsi="Times New Roman"/>
      <w:b/>
      <w:bCs/>
      <w:sz w:val="36"/>
      <w:szCs w:val="36"/>
      <w:lang w:eastAsia="zh-CN"/>
    </w:rPr>
  </w:style>
  <w:style w:type="paragraph" w:styleId="NormalWeb">
    <w:name w:val="Normal (Web)"/>
    <w:basedOn w:val="Normal"/>
    <w:uiPriority w:val="99"/>
    <w:unhideWhenUsed/>
    <w:rsid w:val="00466045"/>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nfo">
    <w:name w:val="info"/>
    <w:basedOn w:val="DefaultParagraphFont"/>
    <w:rsid w:val="004660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775">
      <w:bodyDiv w:val="1"/>
      <w:marLeft w:val="0"/>
      <w:marRight w:val="0"/>
      <w:marTop w:val="0"/>
      <w:marBottom w:val="0"/>
      <w:divBdr>
        <w:top w:val="none" w:sz="0" w:space="0" w:color="auto"/>
        <w:left w:val="none" w:sz="0" w:space="0" w:color="auto"/>
        <w:bottom w:val="none" w:sz="0" w:space="0" w:color="auto"/>
        <w:right w:val="none" w:sz="0" w:space="0" w:color="auto"/>
      </w:divBdr>
      <w:divsChild>
        <w:div w:id="729042229">
          <w:marLeft w:val="0"/>
          <w:marRight w:val="0"/>
          <w:marTop w:val="0"/>
          <w:marBottom w:val="0"/>
          <w:divBdr>
            <w:top w:val="none" w:sz="0" w:space="0" w:color="auto"/>
            <w:left w:val="none" w:sz="0" w:space="0" w:color="auto"/>
            <w:bottom w:val="none" w:sz="0" w:space="0" w:color="auto"/>
            <w:right w:val="none" w:sz="0" w:space="0" w:color="auto"/>
          </w:divBdr>
          <w:divsChild>
            <w:div w:id="19218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4011">
      <w:bodyDiv w:val="1"/>
      <w:marLeft w:val="0"/>
      <w:marRight w:val="0"/>
      <w:marTop w:val="0"/>
      <w:marBottom w:val="0"/>
      <w:divBdr>
        <w:top w:val="none" w:sz="0" w:space="0" w:color="auto"/>
        <w:left w:val="none" w:sz="0" w:space="0" w:color="auto"/>
        <w:bottom w:val="none" w:sz="0" w:space="0" w:color="auto"/>
        <w:right w:val="none" w:sz="0" w:space="0" w:color="auto"/>
      </w:divBdr>
      <w:divsChild>
        <w:div w:id="64643120">
          <w:marLeft w:val="0"/>
          <w:marRight w:val="0"/>
          <w:marTop w:val="0"/>
          <w:marBottom w:val="0"/>
          <w:divBdr>
            <w:top w:val="none" w:sz="0" w:space="0" w:color="auto"/>
            <w:left w:val="none" w:sz="0" w:space="0" w:color="auto"/>
            <w:bottom w:val="none" w:sz="0" w:space="0" w:color="auto"/>
            <w:right w:val="none" w:sz="0" w:space="0" w:color="auto"/>
          </w:divBdr>
          <w:divsChild>
            <w:div w:id="10333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5830">
      <w:bodyDiv w:val="1"/>
      <w:marLeft w:val="0"/>
      <w:marRight w:val="0"/>
      <w:marTop w:val="0"/>
      <w:marBottom w:val="0"/>
      <w:divBdr>
        <w:top w:val="none" w:sz="0" w:space="0" w:color="auto"/>
        <w:left w:val="none" w:sz="0" w:space="0" w:color="auto"/>
        <w:bottom w:val="none" w:sz="0" w:space="0" w:color="auto"/>
        <w:right w:val="none" w:sz="0" w:space="0" w:color="auto"/>
      </w:divBdr>
      <w:divsChild>
        <w:div w:id="827016679">
          <w:marLeft w:val="0"/>
          <w:marRight w:val="0"/>
          <w:marTop w:val="0"/>
          <w:marBottom w:val="0"/>
          <w:divBdr>
            <w:top w:val="none" w:sz="0" w:space="0" w:color="auto"/>
            <w:left w:val="none" w:sz="0" w:space="0" w:color="auto"/>
            <w:bottom w:val="none" w:sz="0" w:space="0" w:color="auto"/>
            <w:right w:val="none" w:sz="0" w:space="0" w:color="auto"/>
          </w:divBdr>
          <w:divsChild>
            <w:div w:id="3725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3.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2343B9-319D-4142-9377-20144837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mconrad</cp:lastModifiedBy>
  <cp:revision>6</cp:revision>
  <cp:lastPrinted>2013-04-10T19:30:00Z</cp:lastPrinted>
  <dcterms:created xsi:type="dcterms:W3CDTF">2013-04-15T17:44:00Z</dcterms:created>
  <dcterms:modified xsi:type="dcterms:W3CDTF">2013-06-24T18:46:00Z</dcterms:modified>
</cp:coreProperties>
</file>