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C50A53" w:rsidRPr="00C50A53" w:rsidRDefault="00C50A53" w:rsidP="00C50A53">
            <w:pPr>
              <w:autoSpaceDE w:val="0"/>
              <w:autoSpaceDN w:val="0"/>
              <w:adjustRightInd w:val="0"/>
              <w:spacing w:after="0" w:line="240" w:lineRule="auto"/>
              <w:rPr>
                <w:rFonts w:cs="Tahoma"/>
              </w:rPr>
            </w:pPr>
            <w:r w:rsidRPr="00C50A53">
              <w:rPr>
                <w:rFonts w:cs="Tahoma"/>
              </w:rPr>
              <w:t>Instruction in this area addresses laws affecting both businesses and families.  As laws emanate from different governmental and judicial entities, students must have a basic understanding of the law and the foundation of the legal system.  The impact of international business and technology has created an additional demand for students to include this course in their academic preparation.</w:t>
            </w:r>
          </w:p>
          <w:p w:rsidR="00C50A53" w:rsidRPr="00C50A53" w:rsidRDefault="00C50A53" w:rsidP="00C50A53">
            <w:pPr>
              <w:autoSpaceDE w:val="0"/>
              <w:autoSpaceDN w:val="0"/>
              <w:adjustRightInd w:val="0"/>
              <w:spacing w:after="0" w:line="240" w:lineRule="auto"/>
              <w:rPr>
                <w:rFonts w:cs="Tahoma"/>
              </w:rPr>
            </w:pPr>
          </w:p>
          <w:p w:rsidR="00C50A53" w:rsidRPr="00C50A53" w:rsidRDefault="00C50A53" w:rsidP="00C50A53">
            <w:pPr>
              <w:autoSpaceDE w:val="0"/>
              <w:autoSpaceDN w:val="0"/>
              <w:adjustRightInd w:val="0"/>
              <w:spacing w:after="0" w:line="240" w:lineRule="auto"/>
              <w:rPr>
                <w:rFonts w:cs="Tahoma"/>
              </w:rPr>
            </w:pPr>
            <w:r w:rsidRPr="00C50A53">
              <w:rPr>
                <w:rFonts w:cs="Tahoma"/>
              </w:rPr>
              <w:t>This course is designed to acquaint students with the basic legal principles relevant to their roles as citizens, consumers, and employees through a mixture of personal, business, and consumer law.  The content includes the basic characteristics of the American system of free enterprise, rights of private property, basic elements of contracts, employer-employee relations, landlords and tenants, individual rights, wills and estates, family and juvenile justice law, and community property.</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tblGrid>
      <w:tr w:rsidR="00DD40DF" w:rsidRPr="00DD40DF" w:rsidTr="00C44E14">
        <w:tc>
          <w:tcPr>
            <w:tcW w:w="7604" w:type="dxa"/>
            <w:gridSpan w:val="3"/>
          </w:tcPr>
          <w:p w:rsidR="0013604E" w:rsidRPr="003D1518" w:rsidRDefault="00845D03" w:rsidP="00C44E14">
            <w:pPr>
              <w:spacing w:line="240" w:lineRule="auto"/>
            </w:pPr>
            <w:r w:rsidRPr="00C44E14">
              <w:rPr>
                <w:b/>
              </w:rPr>
              <w:t>UNIT</w:t>
            </w:r>
            <w:r w:rsidR="00355765">
              <w:rPr>
                <w:b/>
              </w:rPr>
              <w:t xml:space="preserve"> DESCRIPTION</w:t>
            </w:r>
            <w:r w:rsidR="00DD40DF" w:rsidRPr="00C44E14">
              <w:rPr>
                <w:b/>
              </w:rPr>
              <w:t xml:space="preserve">: </w:t>
            </w:r>
            <w:r w:rsidR="00355765">
              <w:rPr>
                <w:b/>
              </w:rPr>
              <w:t xml:space="preserve"> </w:t>
            </w:r>
            <w:r w:rsidR="00C50A53" w:rsidRPr="00C50A53">
              <w:t>Students will gain an understanding of different court systems and how age can impact court proceedings.</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C50A53">
              <w:rPr>
                <w:b/>
              </w:rPr>
              <w:t xml:space="preserve">  1 WEEK</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C50A53" w:rsidRPr="006A5773" w:rsidRDefault="00C50A53" w:rsidP="00C50A53">
            <w:pPr>
              <w:pStyle w:val="ListParagraph"/>
              <w:numPr>
                <w:ilvl w:val="0"/>
                <w:numId w:val="18"/>
              </w:numPr>
              <w:spacing w:after="0" w:line="240" w:lineRule="auto"/>
              <w:rPr>
                <w:rFonts w:cs="Calibri"/>
              </w:rPr>
            </w:pPr>
            <w:r w:rsidRPr="006A5773">
              <w:rPr>
                <w:rFonts w:cs="Calibri"/>
              </w:rPr>
              <w:t>Why do we have federal, state and local court systems?</w:t>
            </w:r>
          </w:p>
          <w:p w:rsidR="00C50A53" w:rsidRPr="006A5773" w:rsidRDefault="00C50A53" w:rsidP="00C50A53">
            <w:pPr>
              <w:pStyle w:val="ListParagraph"/>
              <w:numPr>
                <w:ilvl w:val="0"/>
                <w:numId w:val="18"/>
              </w:numPr>
              <w:spacing w:after="0" w:line="240" w:lineRule="auto"/>
              <w:rPr>
                <w:rFonts w:cs="Calibri"/>
              </w:rPr>
            </w:pPr>
            <w:r w:rsidRPr="006A5773">
              <w:rPr>
                <w:rFonts w:cs="Calibri"/>
              </w:rPr>
              <w:t>What gives a court the power to hear a case?</w:t>
            </w:r>
          </w:p>
          <w:p w:rsidR="00C50A53" w:rsidRPr="006A5773" w:rsidRDefault="00C50A53" w:rsidP="00C50A53">
            <w:pPr>
              <w:pStyle w:val="ListParagraph"/>
              <w:numPr>
                <w:ilvl w:val="0"/>
                <w:numId w:val="18"/>
              </w:numPr>
              <w:spacing w:after="0" w:line="240" w:lineRule="auto"/>
              <w:rPr>
                <w:rFonts w:cs="Calibri"/>
              </w:rPr>
            </w:pPr>
            <w:r w:rsidRPr="006A5773">
              <w:rPr>
                <w:rFonts w:cs="Calibri"/>
              </w:rPr>
              <w:t>What is the definition of a juvenile in Missouri?</w:t>
            </w:r>
          </w:p>
          <w:p w:rsidR="00C50A53" w:rsidRPr="006A5773" w:rsidRDefault="00C50A53" w:rsidP="00C50A53">
            <w:pPr>
              <w:pStyle w:val="ListParagraph"/>
              <w:numPr>
                <w:ilvl w:val="0"/>
                <w:numId w:val="18"/>
              </w:numPr>
              <w:spacing w:after="0" w:line="240" w:lineRule="auto"/>
              <w:rPr>
                <w:rFonts w:cs="Calibri"/>
              </w:rPr>
            </w:pPr>
            <w:r w:rsidRPr="006A5773">
              <w:rPr>
                <w:rFonts w:cs="Calibri"/>
              </w:rPr>
              <w:t>What gives a court the right to try a juvenile as an adult?</w:t>
            </w:r>
          </w:p>
          <w:p w:rsidR="00DD40DF" w:rsidRPr="00C44E14" w:rsidRDefault="00DD40DF" w:rsidP="00C50A53">
            <w:pPr>
              <w:spacing w:after="0"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C44E14">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C44E14">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21BC1" w:rsidRPr="00C44E14" w:rsidRDefault="00C50A53" w:rsidP="00C44E14">
            <w:pPr>
              <w:spacing w:line="240" w:lineRule="auto"/>
              <w:jc w:val="center"/>
              <w:rPr>
                <w:b/>
              </w:rPr>
            </w:pPr>
            <w:r>
              <w:rPr>
                <w:b/>
              </w:rPr>
              <w:t>NBEA</w:t>
            </w:r>
          </w:p>
        </w:tc>
        <w:tc>
          <w:tcPr>
            <w:tcW w:w="814" w:type="dxa"/>
          </w:tcPr>
          <w:p w:rsidR="00321BC1" w:rsidRPr="00C44E14" w:rsidRDefault="00321BC1" w:rsidP="00C44E14">
            <w:pPr>
              <w:spacing w:line="240" w:lineRule="auto"/>
              <w:jc w:val="center"/>
              <w:rPr>
                <w:b/>
              </w:rPr>
            </w:pPr>
            <w:r w:rsidRPr="00C44E14">
              <w:rPr>
                <w:b/>
              </w:rPr>
              <w:t>DOK</w:t>
            </w:r>
          </w:p>
        </w:tc>
      </w:tr>
      <w:tr w:rsidR="00321BC1" w:rsidTr="00C44E14">
        <w:trPr>
          <w:trHeight w:val="466"/>
        </w:trPr>
        <w:tc>
          <w:tcPr>
            <w:tcW w:w="4989" w:type="dxa"/>
            <w:gridSpan w:val="2"/>
          </w:tcPr>
          <w:p w:rsidR="003B76EF" w:rsidRPr="00C50A53" w:rsidRDefault="00C50A53" w:rsidP="00C50A53">
            <w:pPr>
              <w:pStyle w:val="ListParagraph"/>
              <w:numPr>
                <w:ilvl w:val="0"/>
                <w:numId w:val="20"/>
              </w:numPr>
              <w:spacing w:after="0" w:line="240" w:lineRule="auto"/>
              <w:rPr>
                <w:rFonts w:cs="Calibri"/>
              </w:rPr>
            </w:pPr>
            <w:r w:rsidRPr="00C50A53">
              <w:rPr>
                <w:rFonts w:cs="Calibri"/>
              </w:rPr>
              <w:t>Compare and contrast federal, state, and local court systems.</w:t>
            </w:r>
          </w:p>
        </w:tc>
        <w:tc>
          <w:tcPr>
            <w:tcW w:w="2824" w:type="dxa"/>
            <w:gridSpan w:val="2"/>
          </w:tcPr>
          <w:p w:rsidR="003B76EF" w:rsidRPr="00C44E14" w:rsidRDefault="003B76EF" w:rsidP="005A0F5D">
            <w:pPr>
              <w:spacing w:after="0" w:line="240" w:lineRule="auto"/>
              <w:rPr>
                <w:b/>
              </w:rPr>
            </w:pPr>
          </w:p>
        </w:tc>
        <w:tc>
          <w:tcPr>
            <w:tcW w:w="1144" w:type="dxa"/>
            <w:shd w:val="clear" w:color="auto" w:fill="auto"/>
          </w:tcPr>
          <w:p w:rsidR="003B76EF" w:rsidRPr="00C44E14" w:rsidRDefault="003B76EF" w:rsidP="005A0F5D">
            <w:pPr>
              <w:spacing w:after="0" w:line="240" w:lineRule="auto"/>
              <w:rPr>
                <w:b/>
              </w:rPr>
            </w:pPr>
          </w:p>
        </w:tc>
        <w:tc>
          <w:tcPr>
            <w:tcW w:w="701" w:type="dxa"/>
            <w:shd w:val="clear" w:color="auto" w:fill="auto"/>
          </w:tcPr>
          <w:p w:rsidR="003B76EF" w:rsidRPr="00C44E14" w:rsidRDefault="003B76EF" w:rsidP="005A0F5D">
            <w:pPr>
              <w:spacing w:after="0" w:line="240" w:lineRule="auto"/>
              <w:rPr>
                <w:b/>
              </w:rPr>
            </w:pPr>
          </w:p>
        </w:tc>
        <w:tc>
          <w:tcPr>
            <w:tcW w:w="1388" w:type="dxa"/>
            <w:shd w:val="clear" w:color="auto" w:fill="auto"/>
          </w:tcPr>
          <w:p w:rsidR="004E48C1" w:rsidRPr="0060168A" w:rsidRDefault="0060168A" w:rsidP="005A0F5D">
            <w:pPr>
              <w:spacing w:after="0" w:line="240" w:lineRule="auto"/>
            </w:pPr>
            <w:r w:rsidRPr="0060168A">
              <w:t>RH11-12.1</w:t>
            </w:r>
          </w:p>
          <w:p w:rsidR="0060168A" w:rsidRPr="0060168A" w:rsidRDefault="0060168A" w:rsidP="005A0F5D">
            <w:pPr>
              <w:spacing w:after="0" w:line="240" w:lineRule="auto"/>
            </w:pPr>
            <w:r w:rsidRPr="0060168A">
              <w:t>RH11-12.2</w:t>
            </w:r>
          </w:p>
          <w:p w:rsidR="0060168A" w:rsidRPr="0060168A" w:rsidRDefault="0060168A" w:rsidP="005A0F5D">
            <w:pPr>
              <w:spacing w:after="0" w:line="240" w:lineRule="auto"/>
            </w:pPr>
            <w:r w:rsidRPr="0060168A">
              <w:t>RH11-12.3</w:t>
            </w:r>
          </w:p>
          <w:p w:rsidR="0060168A" w:rsidRPr="0060168A" w:rsidRDefault="0060168A" w:rsidP="005A0F5D">
            <w:pPr>
              <w:spacing w:after="0" w:line="240" w:lineRule="auto"/>
            </w:pPr>
            <w:r w:rsidRPr="0060168A">
              <w:t>RH11-12.4</w:t>
            </w:r>
          </w:p>
          <w:p w:rsidR="0060168A" w:rsidRPr="0060168A" w:rsidRDefault="0060168A" w:rsidP="005A0F5D">
            <w:pPr>
              <w:spacing w:after="0" w:line="240" w:lineRule="auto"/>
            </w:pPr>
            <w:r w:rsidRPr="0060168A">
              <w:t>RH11-12.7</w:t>
            </w:r>
          </w:p>
          <w:p w:rsidR="0060168A" w:rsidRPr="0060168A" w:rsidRDefault="0060168A" w:rsidP="005A0F5D">
            <w:pPr>
              <w:spacing w:after="0" w:line="240" w:lineRule="auto"/>
            </w:pPr>
            <w:r w:rsidRPr="0060168A">
              <w:t>RH11-12.8</w:t>
            </w:r>
          </w:p>
          <w:p w:rsidR="0060168A" w:rsidRPr="0060168A" w:rsidRDefault="0060168A" w:rsidP="005A0F5D">
            <w:pPr>
              <w:spacing w:after="0" w:line="240" w:lineRule="auto"/>
            </w:pPr>
            <w:r w:rsidRPr="0060168A">
              <w:t>RH11-12.9</w:t>
            </w:r>
          </w:p>
        </w:tc>
        <w:tc>
          <w:tcPr>
            <w:tcW w:w="1316" w:type="dxa"/>
            <w:shd w:val="clear" w:color="auto" w:fill="auto"/>
          </w:tcPr>
          <w:p w:rsidR="00321BC1" w:rsidRPr="0060168A" w:rsidRDefault="00C50A53" w:rsidP="005A0F5D">
            <w:pPr>
              <w:spacing w:after="0" w:line="240" w:lineRule="auto"/>
              <w:jc w:val="center"/>
            </w:pPr>
            <w:r w:rsidRPr="0060168A">
              <w:t>BLI.C.1.1</w:t>
            </w:r>
          </w:p>
          <w:p w:rsidR="00C50A53" w:rsidRPr="0060168A" w:rsidRDefault="00C50A53" w:rsidP="005A0F5D">
            <w:pPr>
              <w:spacing w:after="0" w:line="240" w:lineRule="auto"/>
              <w:jc w:val="center"/>
            </w:pPr>
            <w:r w:rsidRPr="0060168A">
              <w:t>BLI.C.2.1</w:t>
            </w:r>
          </w:p>
        </w:tc>
        <w:tc>
          <w:tcPr>
            <w:tcW w:w="814" w:type="dxa"/>
            <w:shd w:val="clear" w:color="auto" w:fill="auto"/>
          </w:tcPr>
          <w:p w:rsidR="003B76EF" w:rsidRPr="003B76EF" w:rsidRDefault="0060168A" w:rsidP="005A0F5D">
            <w:pPr>
              <w:spacing w:after="0" w:line="240" w:lineRule="auto"/>
              <w:jc w:val="center"/>
              <w:rPr>
                <w:b/>
              </w:rPr>
            </w:pPr>
            <w:r>
              <w:rPr>
                <w:b/>
              </w:rPr>
              <w:t>3</w:t>
            </w:r>
          </w:p>
        </w:tc>
      </w:tr>
      <w:tr w:rsidR="00286FAE" w:rsidTr="00C44E14">
        <w:trPr>
          <w:trHeight w:val="466"/>
        </w:trPr>
        <w:tc>
          <w:tcPr>
            <w:tcW w:w="4989" w:type="dxa"/>
            <w:gridSpan w:val="2"/>
          </w:tcPr>
          <w:p w:rsidR="00286FAE" w:rsidRPr="00C50A53" w:rsidRDefault="00C50A53" w:rsidP="00C50A53">
            <w:pPr>
              <w:pStyle w:val="ListParagraph"/>
              <w:numPr>
                <w:ilvl w:val="0"/>
                <w:numId w:val="20"/>
              </w:numPr>
              <w:spacing w:after="0" w:line="240" w:lineRule="auto"/>
              <w:rPr>
                <w:rFonts w:cs="Calibri"/>
              </w:rPr>
            </w:pPr>
            <w:r w:rsidRPr="00C50A53">
              <w:rPr>
                <w:rFonts w:cs="Calibri"/>
              </w:rPr>
              <w:t>Define the concept of jurisdiction.</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286FAE" w:rsidRPr="0060168A" w:rsidRDefault="0060168A" w:rsidP="005A0F5D">
            <w:pPr>
              <w:spacing w:after="0" w:line="240" w:lineRule="auto"/>
              <w:rPr>
                <w:lang w:val="it-IT"/>
              </w:rPr>
            </w:pPr>
            <w:r w:rsidRPr="0060168A">
              <w:rPr>
                <w:lang w:val="it-IT"/>
              </w:rPr>
              <w:t>RI11-12.1</w:t>
            </w:r>
          </w:p>
          <w:p w:rsidR="0060168A" w:rsidRPr="0060168A" w:rsidRDefault="0060168A" w:rsidP="005A0F5D">
            <w:pPr>
              <w:spacing w:after="0" w:line="240" w:lineRule="auto"/>
              <w:rPr>
                <w:lang w:val="it-IT"/>
              </w:rPr>
            </w:pPr>
            <w:r w:rsidRPr="0060168A">
              <w:rPr>
                <w:lang w:val="it-IT"/>
              </w:rPr>
              <w:t>RI11-12.2</w:t>
            </w:r>
          </w:p>
          <w:p w:rsidR="0060168A" w:rsidRPr="0060168A" w:rsidRDefault="0060168A" w:rsidP="005A0F5D">
            <w:pPr>
              <w:spacing w:after="0" w:line="240" w:lineRule="auto"/>
              <w:rPr>
                <w:lang w:val="it-IT"/>
              </w:rPr>
            </w:pPr>
            <w:r w:rsidRPr="0060168A">
              <w:rPr>
                <w:lang w:val="it-IT"/>
              </w:rPr>
              <w:t>RI11-12.3</w:t>
            </w:r>
          </w:p>
          <w:p w:rsidR="0060168A" w:rsidRPr="0060168A" w:rsidRDefault="0060168A" w:rsidP="005A0F5D">
            <w:pPr>
              <w:spacing w:after="0" w:line="240" w:lineRule="auto"/>
              <w:rPr>
                <w:lang w:val="it-IT"/>
              </w:rPr>
            </w:pPr>
            <w:r w:rsidRPr="0060168A">
              <w:rPr>
                <w:lang w:val="it-IT"/>
              </w:rPr>
              <w:t>RI11-12.4</w:t>
            </w:r>
          </w:p>
          <w:p w:rsidR="0060168A" w:rsidRPr="0060168A" w:rsidRDefault="0060168A" w:rsidP="005A0F5D">
            <w:pPr>
              <w:spacing w:after="0" w:line="240" w:lineRule="auto"/>
              <w:rPr>
                <w:lang w:val="it-IT"/>
              </w:rPr>
            </w:pPr>
            <w:r w:rsidRPr="0060168A">
              <w:rPr>
                <w:lang w:val="it-IT"/>
              </w:rPr>
              <w:t>RI11-12.7</w:t>
            </w:r>
          </w:p>
        </w:tc>
        <w:tc>
          <w:tcPr>
            <w:tcW w:w="1316" w:type="dxa"/>
            <w:shd w:val="clear" w:color="auto" w:fill="auto"/>
          </w:tcPr>
          <w:p w:rsidR="00286FAE" w:rsidRPr="00942F08" w:rsidRDefault="00C50A53" w:rsidP="005A0F5D">
            <w:pPr>
              <w:spacing w:after="0" w:line="240" w:lineRule="auto"/>
              <w:jc w:val="center"/>
              <w:rPr>
                <w:lang w:val="it-IT"/>
              </w:rPr>
            </w:pPr>
            <w:r w:rsidRPr="00942F08">
              <w:rPr>
                <w:lang w:val="it-IT"/>
              </w:rPr>
              <w:t>BLI.C.3.1</w:t>
            </w:r>
          </w:p>
          <w:p w:rsidR="00C50A53" w:rsidRPr="00942F08" w:rsidRDefault="00C50A53" w:rsidP="005A0F5D">
            <w:pPr>
              <w:spacing w:after="0" w:line="240" w:lineRule="auto"/>
              <w:jc w:val="center"/>
              <w:rPr>
                <w:lang w:val="it-IT"/>
              </w:rPr>
            </w:pPr>
            <w:r w:rsidRPr="00942F08">
              <w:rPr>
                <w:lang w:val="it-IT"/>
              </w:rPr>
              <w:t>BLI.C.3.4</w:t>
            </w:r>
          </w:p>
          <w:p w:rsidR="0060168A" w:rsidRPr="00942F08" w:rsidRDefault="0060168A" w:rsidP="005A0F5D">
            <w:pPr>
              <w:spacing w:after="0" w:line="240" w:lineRule="auto"/>
              <w:jc w:val="center"/>
              <w:rPr>
                <w:lang w:val="it-IT"/>
              </w:rPr>
            </w:pPr>
            <w:r w:rsidRPr="00942F08">
              <w:rPr>
                <w:lang w:val="it-IT"/>
              </w:rPr>
              <w:t>BLI.C.4.1</w:t>
            </w:r>
          </w:p>
          <w:p w:rsidR="0060168A" w:rsidRPr="0060168A" w:rsidRDefault="0060168A" w:rsidP="005A0F5D">
            <w:pPr>
              <w:spacing w:after="0" w:line="240" w:lineRule="auto"/>
              <w:jc w:val="center"/>
            </w:pPr>
            <w:r w:rsidRPr="0060168A">
              <w:t>BLI.C.4.2</w:t>
            </w:r>
          </w:p>
          <w:p w:rsidR="0060168A" w:rsidRPr="0060168A" w:rsidRDefault="0060168A" w:rsidP="005A0F5D">
            <w:pPr>
              <w:spacing w:after="0" w:line="240" w:lineRule="auto"/>
              <w:jc w:val="center"/>
            </w:pPr>
            <w:r w:rsidRPr="0060168A">
              <w:t>BLI.C.4.3</w:t>
            </w:r>
          </w:p>
        </w:tc>
        <w:tc>
          <w:tcPr>
            <w:tcW w:w="814" w:type="dxa"/>
            <w:shd w:val="clear" w:color="auto" w:fill="auto"/>
          </w:tcPr>
          <w:p w:rsidR="00286FAE" w:rsidRPr="003B76EF" w:rsidRDefault="0060168A" w:rsidP="005A0F5D">
            <w:pPr>
              <w:spacing w:after="0" w:line="240" w:lineRule="auto"/>
              <w:jc w:val="center"/>
              <w:rPr>
                <w:b/>
              </w:rPr>
            </w:pPr>
            <w:r>
              <w:rPr>
                <w:b/>
              </w:rPr>
              <w:t>1</w:t>
            </w:r>
          </w:p>
        </w:tc>
      </w:tr>
      <w:tr w:rsidR="00286FAE" w:rsidTr="00C44E14">
        <w:trPr>
          <w:trHeight w:val="466"/>
        </w:trPr>
        <w:tc>
          <w:tcPr>
            <w:tcW w:w="4989" w:type="dxa"/>
            <w:gridSpan w:val="2"/>
          </w:tcPr>
          <w:p w:rsidR="00286FAE" w:rsidRPr="00C50A53" w:rsidRDefault="00C50A53" w:rsidP="00C50A53">
            <w:pPr>
              <w:pStyle w:val="ListParagraph"/>
              <w:numPr>
                <w:ilvl w:val="0"/>
                <w:numId w:val="20"/>
              </w:numPr>
              <w:spacing w:after="0" w:line="240" w:lineRule="auto"/>
              <w:rPr>
                <w:rFonts w:cs="Calibri"/>
              </w:rPr>
            </w:pPr>
            <w:r w:rsidRPr="00C50A53">
              <w:rPr>
                <w:rFonts w:cs="Calibri"/>
              </w:rPr>
              <w:t>Identify the differences between the juvenile system and the overall judicial system.</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286FAE" w:rsidRPr="0060168A" w:rsidRDefault="0060168A" w:rsidP="005A0F5D">
            <w:pPr>
              <w:spacing w:after="0" w:line="240" w:lineRule="auto"/>
            </w:pPr>
            <w:r w:rsidRPr="0060168A">
              <w:t>SL11-12.1</w:t>
            </w:r>
          </w:p>
          <w:p w:rsidR="0060168A" w:rsidRPr="0060168A" w:rsidRDefault="0060168A" w:rsidP="005A0F5D">
            <w:pPr>
              <w:spacing w:after="0" w:line="240" w:lineRule="auto"/>
            </w:pPr>
            <w:r w:rsidRPr="0060168A">
              <w:t>SL11-12.5</w:t>
            </w:r>
          </w:p>
        </w:tc>
        <w:tc>
          <w:tcPr>
            <w:tcW w:w="1316" w:type="dxa"/>
            <w:shd w:val="clear" w:color="auto" w:fill="auto"/>
          </w:tcPr>
          <w:p w:rsidR="00286FAE" w:rsidRPr="0060168A" w:rsidRDefault="0060168A" w:rsidP="005A0F5D">
            <w:pPr>
              <w:spacing w:after="0" w:line="240" w:lineRule="auto"/>
              <w:jc w:val="center"/>
            </w:pPr>
            <w:r w:rsidRPr="0060168A">
              <w:t>BLI.C.3.2</w:t>
            </w:r>
          </w:p>
        </w:tc>
        <w:tc>
          <w:tcPr>
            <w:tcW w:w="814" w:type="dxa"/>
            <w:shd w:val="clear" w:color="auto" w:fill="auto"/>
          </w:tcPr>
          <w:p w:rsidR="00286FAE" w:rsidRPr="003B76EF" w:rsidRDefault="0060168A" w:rsidP="005A0F5D">
            <w:pPr>
              <w:spacing w:after="0" w:line="240" w:lineRule="auto"/>
              <w:jc w:val="center"/>
              <w:rPr>
                <w:b/>
              </w:rPr>
            </w:pPr>
            <w:r>
              <w:rPr>
                <w:b/>
              </w:rPr>
              <w:t>1</w:t>
            </w:r>
          </w:p>
        </w:tc>
      </w:tr>
      <w:tr w:rsidR="00286FAE" w:rsidTr="00C44E14">
        <w:trPr>
          <w:trHeight w:val="466"/>
        </w:trPr>
        <w:tc>
          <w:tcPr>
            <w:tcW w:w="4989" w:type="dxa"/>
            <w:gridSpan w:val="2"/>
          </w:tcPr>
          <w:p w:rsidR="00286FAE" w:rsidRPr="00C50A53" w:rsidRDefault="00C50A53" w:rsidP="00C50A53">
            <w:pPr>
              <w:pStyle w:val="ListParagraph"/>
              <w:numPr>
                <w:ilvl w:val="0"/>
                <w:numId w:val="20"/>
              </w:numPr>
              <w:spacing w:after="0" w:line="240" w:lineRule="auto"/>
              <w:rPr>
                <w:rFonts w:cs="Calibri"/>
              </w:rPr>
            </w:pPr>
            <w:r w:rsidRPr="00C50A53">
              <w:rPr>
                <w:rFonts w:cs="Calibri"/>
              </w:rPr>
              <w:t>Explain the role of a jury.</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286FAE" w:rsidRPr="0060168A" w:rsidRDefault="0060168A" w:rsidP="005A0F5D">
            <w:pPr>
              <w:spacing w:after="0" w:line="240" w:lineRule="auto"/>
            </w:pPr>
            <w:r w:rsidRPr="0060168A">
              <w:t>WHST11-12.2</w:t>
            </w:r>
          </w:p>
          <w:p w:rsidR="0060168A" w:rsidRPr="0060168A" w:rsidRDefault="0060168A" w:rsidP="005A0F5D">
            <w:pPr>
              <w:spacing w:after="0" w:line="240" w:lineRule="auto"/>
            </w:pPr>
            <w:r w:rsidRPr="0060168A">
              <w:lastRenderedPageBreak/>
              <w:t>WHST11-12.4</w:t>
            </w:r>
          </w:p>
          <w:p w:rsidR="0060168A" w:rsidRPr="0060168A" w:rsidRDefault="0060168A" w:rsidP="005A0F5D">
            <w:pPr>
              <w:spacing w:after="0" w:line="240" w:lineRule="auto"/>
            </w:pPr>
            <w:r w:rsidRPr="0060168A">
              <w:t>WHST11-12.5</w:t>
            </w:r>
          </w:p>
          <w:p w:rsidR="0060168A" w:rsidRPr="0060168A" w:rsidRDefault="0060168A" w:rsidP="005A0F5D">
            <w:pPr>
              <w:spacing w:after="0" w:line="240" w:lineRule="auto"/>
            </w:pPr>
            <w:r w:rsidRPr="0060168A">
              <w:t>WHST11-12.6</w:t>
            </w:r>
          </w:p>
          <w:p w:rsidR="0060168A" w:rsidRPr="0060168A" w:rsidRDefault="0060168A" w:rsidP="005A0F5D">
            <w:pPr>
              <w:spacing w:after="0" w:line="240" w:lineRule="auto"/>
            </w:pPr>
            <w:r w:rsidRPr="0060168A">
              <w:t>WHST11-12.7</w:t>
            </w:r>
          </w:p>
          <w:p w:rsidR="0060168A" w:rsidRPr="0060168A" w:rsidRDefault="0060168A" w:rsidP="005A0F5D">
            <w:pPr>
              <w:spacing w:after="0" w:line="240" w:lineRule="auto"/>
            </w:pPr>
            <w:r w:rsidRPr="0060168A">
              <w:t>WHST11-12.8</w:t>
            </w:r>
          </w:p>
          <w:p w:rsidR="0060168A" w:rsidRPr="0060168A" w:rsidRDefault="0060168A" w:rsidP="005A0F5D">
            <w:pPr>
              <w:spacing w:after="0" w:line="240" w:lineRule="auto"/>
            </w:pPr>
            <w:r w:rsidRPr="0060168A">
              <w:t>WHST11-12.9</w:t>
            </w:r>
          </w:p>
        </w:tc>
        <w:tc>
          <w:tcPr>
            <w:tcW w:w="1316" w:type="dxa"/>
            <w:shd w:val="clear" w:color="auto" w:fill="auto"/>
          </w:tcPr>
          <w:p w:rsidR="00286FAE" w:rsidRPr="0060168A" w:rsidRDefault="00286FAE" w:rsidP="005A0F5D">
            <w:pPr>
              <w:spacing w:after="0" w:line="240" w:lineRule="auto"/>
              <w:jc w:val="center"/>
            </w:pPr>
          </w:p>
        </w:tc>
        <w:tc>
          <w:tcPr>
            <w:tcW w:w="814" w:type="dxa"/>
            <w:shd w:val="clear" w:color="auto" w:fill="auto"/>
          </w:tcPr>
          <w:p w:rsidR="00286FAE" w:rsidRPr="003B76EF" w:rsidRDefault="0060168A" w:rsidP="005A0F5D">
            <w:pPr>
              <w:spacing w:after="0" w:line="240" w:lineRule="auto"/>
              <w:jc w:val="center"/>
              <w:rPr>
                <w:b/>
              </w:rPr>
            </w:pPr>
            <w:r>
              <w:rPr>
                <w:b/>
              </w:rPr>
              <w:t>3</w:t>
            </w:r>
          </w:p>
        </w:tc>
      </w:tr>
      <w:tr w:rsidR="00286FAE" w:rsidTr="00C44E14">
        <w:trPr>
          <w:trHeight w:val="466"/>
        </w:trPr>
        <w:tc>
          <w:tcPr>
            <w:tcW w:w="4989" w:type="dxa"/>
            <w:gridSpan w:val="2"/>
          </w:tcPr>
          <w:p w:rsidR="00286FAE" w:rsidRPr="00C50A53" w:rsidRDefault="00C50A53" w:rsidP="00C50A53">
            <w:pPr>
              <w:pStyle w:val="ListParagraph"/>
              <w:numPr>
                <w:ilvl w:val="0"/>
                <w:numId w:val="20"/>
              </w:numPr>
              <w:spacing w:after="0" w:line="240" w:lineRule="auto"/>
              <w:rPr>
                <w:rFonts w:cs="Calibri"/>
              </w:rPr>
            </w:pPr>
            <w:r w:rsidRPr="00C50A53">
              <w:rPr>
                <w:rFonts w:cs="Calibri"/>
              </w:rPr>
              <w:lastRenderedPageBreak/>
              <w:t>Compare the responsibilities of the defense attorneys to the prosecutors.</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942F08" w:rsidRPr="0060168A" w:rsidRDefault="00942F08" w:rsidP="00942F08">
            <w:pPr>
              <w:spacing w:after="0" w:line="240" w:lineRule="auto"/>
            </w:pPr>
            <w:r w:rsidRPr="0060168A">
              <w:t>RH11-12.1</w:t>
            </w:r>
          </w:p>
          <w:p w:rsidR="00942F08" w:rsidRPr="0060168A" w:rsidRDefault="00942F08" w:rsidP="00942F08">
            <w:pPr>
              <w:spacing w:after="0" w:line="240" w:lineRule="auto"/>
            </w:pPr>
            <w:r w:rsidRPr="0060168A">
              <w:t>RH11-12.2</w:t>
            </w:r>
          </w:p>
          <w:p w:rsidR="00942F08" w:rsidRPr="0060168A" w:rsidRDefault="00942F08" w:rsidP="00942F08">
            <w:pPr>
              <w:spacing w:after="0" w:line="240" w:lineRule="auto"/>
            </w:pPr>
            <w:r w:rsidRPr="0060168A">
              <w:t>RH11-12.3</w:t>
            </w:r>
          </w:p>
          <w:p w:rsidR="00942F08" w:rsidRPr="0060168A" w:rsidRDefault="00942F08" w:rsidP="00942F08">
            <w:pPr>
              <w:spacing w:after="0" w:line="240" w:lineRule="auto"/>
            </w:pPr>
            <w:r w:rsidRPr="0060168A">
              <w:t>RH11-12.4</w:t>
            </w:r>
          </w:p>
          <w:p w:rsidR="00942F08" w:rsidRPr="0060168A" w:rsidRDefault="00942F08" w:rsidP="00942F08">
            <w:pPr>
              <w:spacing w:after="0" w:line="240" w:lineRule="auto"/>
            </w:pPr>
            <w:r w:rsidRPr="0060168A">
              <w:t>RH11-12.7</w:t>
            </w:r>
          </w:p>
          <w:p w:rsidR="00942F08" w:rsidRPr="0060168A" w:rsidRDefault="00942F08" w:rsidP="00942F08">
            <w:pPr>
              <w:spacing w:after="0" w:line="240" w:lineRule="auto"/>
            </w:pPr>
            <w:r w:rsidRPr="0060168A">
              <w:t>RH11-12.8</w:t>
            </w:r>
          </w:p>
          <w:p w:rsidR="00286FAE" w:rsidRPr="0060168A" w:rsidRDefault="00942F08" w:rsidP="00942F08">
            <w:pPr>
              <w:spacing w:after="0" w:line="240" w:lineRule="auto"/>
            </w:pPr>
            <w:r w:rsidRPr="0060168A">
              <w:t>RH11-12.9</w:t>
            </w:r>
          </w:p>
        </w:tc>
        <w:tc>
          <w:tcPr>
            <w:tcW w:w="1316" w:type="dxa"/>
            <w:shd w:val="clear" w:color="auto" w:fill="auto"/>
          </w:tcPr>
          <w:p w:rsidR="00286FAE" w:rsidRPr="0060168A" w:rsidRDefault="00942F08" w:rsidP="003D1518">
            <w:pPr>
              <w:spacing w:after="0" w:line="240" w:lineRule="auto"/>
              <w:jc w:val="center"/>
            </w:pPr>
            <w:r>
              <w:t>BL</w:t>
            </w:r>
            <w:r w:rsidR="003D1518">
              <w:t>.1</w:t>
            </w:r>
            <w:r>
              <w:t>.C.2.2</w:t>
            </w:r>
          </w:p>
        </w:tc>
        <w:tc>
          <w:tcPr>
            <w:tcW w:w="814" w:type="dxa"/>
            <w:shd w:val="clear" w:color="auto" w:fill="auto"/>
          </w:tcPr>
          <w:p w:rsidR="00286FAE" w:rsidRPr="003B76EF" w:rsidRDefault="0060168A" w:rsidP="005A0F5D">
            <w:pPr>
              <w:spacing w:after="0" w:line="240" w:lineRule="auto"/>
              <w:jc w:val="center"/>
              <w:rPr>
                <w:b/>
              </w:rPr>
            </w:pPr>
            <w:r>
              <w:rPr>
                <w:b/>
              </w:rPr>
              <w:t>3</w:t>
            </w:r>
          </w:p>
        </w:tc>
      </w:tr>
      <w:tr w:rsidR="005A0F5D" w:rsidTr="00C44E14">
        <w:trPr>
          <w:trHeight w:val="466"/>
        </w:trPr>
        <w:tc>
          <w:tcPr>
            <w:tcW w:w="4989" w:type="dxa"/>
            <w:gridSpan w:val="2"/>
          </w:tcPr>
          <w:p w:rsidR="005A0F5D" w:rsidRPr="00C50A53" w:rsidRDefault="00C50A53" w:rsidP="00C50A53">
            <w:pPr>
              <w:pStyle w:val="ListParagraph"/>
              <w:numPr>
                <w:ilvl w:val="0"/>
                <w:numId w:val="20"/>
              </w:numPr>
              <w:tabs>
                <w:tab w:val="left" w:pos="220"/>
              </w:tabs>
              <w:spacing w:after="0" w:line="240" w:lineRule="auto"/>
              <w:rPr>
                <w:rFonts w:ascii="Times New Roman" w:hAnsi="Times New Roman"/>
              </w:rPr>
            </w:pPr>
            <w:r w:rsidRPr="00C50A53">
              <w:rPr>
                <w:rFonts w:cs="Calibri"/>
              </w:rPr>
              <w:t>Compare the role of a judge in a criminal case versus a civil case.</w:t>
            </w:r>
          </w:p>
        </w:tc>
        <w:tc>
          <w:tcPr>
            <w:tcW w:w="282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701" w:type="dxa"/>
            <w:shd w:val="clear" w:color="auto" w:fill="auto"/>
          </w:tcPr>
          <w:p w:rsidR="005A0F5D" w:rsidRPr="00C44E14" w:rsidRDefault="005A0F5D" w:rsidP="005A0F5D">
            <w:pPr>
              <w:spacing w:after="0" w:line="240" w:lineRule="auto"/>
              <w:rPr>
                <w:b/>
              </w:rPr>
            </w:pPr>
          </w:p>
        </w:tc>
        <w:tc>
          <w:tcPr>
            <w:tcW w:w="1388" w:type="dxa"/>
            <w:shd w:val="clear" w:color="auto" w:fill="auto"/>
          </w:tcPr>
          <w:p w:rsidR="00942F08" w:rsidRPr="0060168A" w:rsidRDefault="00942F08" w:rsidP="00942F08">
            <w:pPr>
              <w:spacing w:after="0" w:line="240" w:lineRule="auto"/>
            </w:pPr>
            <w:r w:rsidRPr="0060168A">
              <w:t>RH11-12.1</w:t>
            </w:r>
          </w:p>
          <w:p w:rsidR="00942F08" w:rsidRPr="0060168A" w:rsidRDefault="00942F08" w:rsidP="00942F08">
            <w:pPr>
              <w:spacing w:after="0" w:line="240" w:lineRule="auto"/>
            </w:pPr>
            <w:r w:rsidRPr="0060168A">
              <w:t>RH11-12.2</w:t>
            </w:r>
          </w:p>
          <w:p w:rsidR="00942F08" w:rsidRPr="0060168A" w:rsidRDefault="00942F08" w:rsidP="00942F08">
            <w:pPr>
              <w:spacing w:after="0" w:line="240" w:lineRule="auto"/>
            </w:pPr>
            <w:r w:rsidRPr="0060168A">
              <w:t>RH11-12.3</w:t>
            </w:r>
          </w:p>
          <w:p w:rsidR="00942F08" w:rsidRPr="0060168A" w:rsidRDefault="00942F08" w:rsidP="00942F08">
            <w:pPr>
              <w:spacing w:after="0" w:line="240" w:lineRule="auto"/>
            </w:pPr>
            <w:r w:rsidRPr="0060168A">
              <w:t>RH11-12.4</w:t>
            </w:r>
          </w:p>
          <w:p w:rsidR="00942F08" w:rsidRPr="0060168A" w:rsidRDefault="00942F08" w:rsidP="00942F08">
            <w:pPr>
              <w:spacing w:after="0" w:line="240" w:lineRule="auto"/>
            </w:pPr>
            <w:r w:rsidRPr="0060168A">
              <w:t>RH11-12.7</w:t>
            </w:r>
          </w:p>
          <w:p w:rsidR="00942F08" w:rsidRPr="0060168A" w:rsidRDefault="00942F08" w:rsidP="00942F08">
            <w:pPr>
              <w:spacing w:after="0" w:line="240" w:lineRule="auto"/>
            </w:pPr>
            <w:r w:rsidRPr="0060168A">
              <w:t>RH11-12.8</w:t>
            </w:r>
          </w:p>
          <w:p w:rsidR="005A0F5D" w:rsidRPr="0060168A" w:rsidRDefault="00942F08" w:rsidP="00942F08">
            <w:pPr>
              <w:spacing w:after="0" w:line="240" w:lineRule="auto"/>
            </w:pPr>
            <w:r w:rsidRPr="0060168A">
              <w:t>RH11-12.9</w:t>
            </w:r>
          </w:p>
        </w:tc>
        <w:tc>
          <w:tcPr>
            <w:tcW w:w="1316" w:type="dxa"/>
            <w:shd w:val="clear" w:color="auto" w:fill="auto"/>
          </w:tcPr>
          <w:p w:rsidR="005A0F5D" w:rsidRPr="0060168A" w:rsidRDefault="00942F08" w:rsidP="003D1518">
            <w:pPr>
              <w:spacing w:after="0" w:line="240" w:lineRule="auto"/>
              <w:jc w:val="center"/>
            </w:pPr>
            <w:r>
              <w:t>BL</w:t>
            </w:r>
            <w:r w:rsidR="003D1518">
              <w:t>.1</w:t>
            </w:r>
            <w:bookmarkStart w:id="0" w:name="_GoBack"/>
            <w:bookmarkEnd w:id="0"/>
            <w:r>
              <w:t>.E.2.1</w:t>
            </w:r>
          </w:p>
        </w:tc>
        <w:tc>
          <w:tcPr>
            <w:tcW w:w="814" w:type="dxa"/>
            <w:shd w:val="clear" w:color="auto" w:fill="auto"/>
          </w:tcPr>
          <w:p w:rsidR="005A0F5D" w:rsidRPr="003B76EF" w:rsidRDefault="0060168A" w:rsidP="005A0F5D">
            <w:pPr>
              <w:spacing w:after="0" w:line="240" w:lineRule="auto"/>
              <w:jc w:val="center"/>
              <w:rPr>
                <w:b/>
              </w:rPr>
            </w:pPr>
            <w:r>
              <w:rPr>
                <w:b/>
              </w:rPr>
              <w:t>3</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60168A" w:rsidRPr="0060168A" w:rsidRDefault="003D1518" w:rsidP="0060168A">
            <w:pPr>
              <w:spacing w:line="240" w:lineRule="auto"/>
            </w:pPr>
            <w:hyperlink r:id="rId12" w:history="1">
              <w:r w:rsidR="0060168A" w:rsidRPr="0060168A">
                <w:rPr>
                  <w:rStyle w:val="Hyperlink"/>
                </w:rPr>
                <w:t>Assessment 1</w:t>
              </w:r>
            </w:hyperlink>
            <w:r w:rsidR="0060168A" w:rsidRPr="0060168A">
              <w:t xml:space="preserve"> – The Court System</w:t>
            </w:r>
            <w:r w:rsidR="0060168A">
              <w:t xml:space="preserve"> (</w:t>
            </w:r>
            <w:r w:rsidR="0060168A" w:rsidRPr="0060168A">
              <w:t>summative assessment</w:t>
            </w:r>
            <w:r w:rsidR="0060168A">
              <w:t>)</w:t>
            </w: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lastRenderedPageBreak/>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lastRenderedPageBreak/>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8E605D" w:rsidP="00C44E14">
            <w:pPr>
              <w:spacing w:line="240" w:lineRule="auto"/>
              <w:rPr>
                <w:noProof/>
              </w:rPr>
            </w:pPr>
            <w:r>
              <w:rPr>
                <w:noProof/>
              </w:rPr>
              <w:t>1</w:t>
            </w:r>
          </w:p>
        </w:tc>
        <w:tc>
          <w:tcPr>
            <w:tcW w:w="12348" w:type="dxa"/>
            <w:gridSpan w:val="8"/>
          </w:tcPr>
          <w:p w:rsidR="00D2622A" w:rsidRPr="008E605D" w:rsidRDefault="009F59FD" w:rsidP="008E605D">
            <w:pPr>
              <w:pStyle w:val="ListParagraph"/>
              <w:numPr>
                <w:ilvl w:val="0"/>
                <w:numId w:val="22"/>
              </w:numPr>
              <w:spacing w:line="240" w:lineRule="auto"/>
              <w:rPr>
                <w:b/>
              </w:rPr>
            </w:pPr>
            <w:r>
              <w:rPr>
                <w:b/>
              </w:rPr>
              <w:t>Homework (worksheet)</w:t>
            </w:r>
            <w:r w:rsidR="00A16550">
              <w:rPr>
                <w:b/>
              </w:rPr>
              <w:t xml:space="preserve"> on the State Court System</w:t>
            </w:r>
          </w:p>
        </w:tc>
      </w:tr>
      <w:tr w:rsidR="008E605D" w:rsidTr="00C44E14">
        <w:trPr>
          <w:trHeight w:val="359"/>
        </w:trPr>
        <w:tc>
          <w:tcPr>
            <w:tcW w:w="828" w:type="dxa"/>
          </w:tcPr>
          <w:p w:rsidR="008E605D" w:rsidRPr="009505D0" w:rsidRDefault="008E605D" w:rsidP="00C44E14">
            <w:pPr>
              <w:spacing w:line="240" w:lineRule="auto"/>
              <w:rPr>
                <w:noProof/>
              </w:rPr>
            </w:pPr>
            <w:r>
              <w:rPr>
                <w:noProof/>
              </w:rPr>
              <w:t>1</w:t>
            </w:r>
          </w:p>
        </w:tc>
        <w:tc>
          <w:tcPr>
            <w:tcW w:w="12348" w:type="dxa"/>
            <w:gridSpan w:val="8"/>
          </w:tcPr>
          <w:p w:rsidR="008E605D" w:rsidRPr="008E605D" w:rsidRDefault="00A16550" w:rsidP="008E605D">
            <w:pPr>
              <w:pStyle w:val="ListParagraph"/>
              <w:numPr>
                <w:ilvl w:val="0"/>
                <w:numId w:val="22"/>
              </w:numPr>
              <w:spacing w:line="240" w:lineRule="auto"/>
              <w:rPr>
                <w:b/>
              </w:rPr>
            </w:pPr>
            <w:r>
              <w:rPr>
                <w:b/>
              </w:rPr>
              <w:t>Independent Learning on the Federal Court System</w:t>
            </w:r>
          </w:p>
        </w:tc>
      </w:tr>
      <w:tr w:rsidR="008E605D" w:rsidTr="00C44E14">
        <w:trPr>
          <w:trHeight w:val="359"/>
        </w:trPr>
        <w:tc>
          <w:tcPr>
            <w:tcW w:w="828" w:type="dxa"/>
          </w:tcPr>
          <w:p w:rsidR="008E605D" w:rsidRPr="009505D0" w:rsidRDefault="00A16550" w:rsidP="00C44E14">
            <w:pPr>
              <w:spacing w:line="240" w:lineRule="auto"/>
              <w:rPr>
                <w:noProof/>
              </w:rPr>
            </w:pPr>
            <w:r>
              <w:rPr>
                <w:noProof/>
              </w:rPr>
              <w:t>1</w:t>
            </w:r>
          </w:p>
        </w:tc>
        <w:tc>
          <w:tcPr>
            <w:tcW w:w="12348" w:type="dxa"/>
            <w:gridSpan w:val="8"/>
          </w:tcPr>
          <w:p w:rsidR="008E605D" w:rsidRPr="00A16550" w:rsidRDefault="000F3CB1" w:rsidP="00A16550">
            <w:pPr>
              <w:pStyle w:val="ListParagraph"/>
              <w:numPr>
                <w:ilvl w:val="0"/>
                <w:numId w:val="22"/>
              </w:numPr>
              <w:spacing w:line="240" w:lineRule="auto"/>
              <w:rPr>
                <w:b/>
              </w:rPr>
            </w:pPr>
            <w:r>
              <w:rPr>
                <w:b/>
              </w:rPr>
              <w:t>Cooperative learning on the court system</w:t>
            </w:r>
          </w:p>
        </w:tc>
      </w:tr>
      <w:tr w:rsidR="008E605D" w:rsidTr="00C44E14">
        <w:trPr>
          <w:trHeight w:val="359"/>
        </w:trPr>
        <w:tc>
          <w:tcPr>
            <w:tcW w:w="828" w:type="dxa"/>
          </w:tcPr>
          <w:p w:rsidR="008E605D" w:rsidRPr="009505D0" w:rsidRDefault="00A16550" w:rsidP="00C44E14">
            <w:pPr>
              <w:spacing w:line="240" w:lineRule="auto"/>
              <w:rPr>
                <w:noProof/>
              </w:rPr>
            </w:pPr>
            <w:r>
              <w:rPr>
                <w:noProof/>
              </w:rPr>
              <w:t>2</w:t>
            </w:r>
          </w:p>
        </w:tc>
        <w:tc>
          <w:tcPr>
            <w:tcW w:w="12348" w:type="dxa"/>
            <w:gridSpan w:val="8"/>
          </w:tcPr>
          <w:p w:rsidR="008E605D" w:rsidRPr="00A16550" w:rsidRDefault="00A16550" w:rsidP="00A16550">
            <w:pPr>
              <w:pStyle w:val="ListParagraph"/>
              <w:numPr>
                <w:ilvl w:val="0"/>
                <w:numId w:val="22"/>
              </w:numPr>
              <w:spacing w:line="240" w:lineRule="auto"/>
              <w:rPr>
                <w:b/>
              </w:rPr>
            </w:pPr>
            <w:r>
              <w:rPr>
                <w:b/>
              </w:rPr>
              <w:t>Cooperative Learning on jurisdiction</w:t>
            </w:r>
          </w:p>
        </w:tc>
      </w:tr>
      <w:tr w:rsidR="00D2622A" w:rsidTr="00C44E14">
        <w:trPr>
          <w:trHeight w:val="359"/>
        </w:trPr>
        <w:tc>
          <w:tcPr>
            <w:tcW w:w="828" w:type="dxa"/>
          </w:tcPr>
          <w:p w:rsidR="00D2622A" w:rsidRPr="009505D0" w:rsidRDefault="009F59FD" w:rsidP="00C44E14">
            <w:pPr>
              <w:spacing w:line="240" w:lineRule="auto"/>
              <w:rPr>
                <w:noProof/>
              </w:rPr>
            </w:pPr>
            <w:r>
              <w:rPr>
                <w:noProof/>
              </w:rPr>
              <w:t>3</w:t>
            </w:r>
          </w:p>
        </w:tc>
        <w:tc>
          <w:tcPr>
            <w:tcW w:w="12348" w:type="dxa"/>
            <w:gridSpan w:val="8"/>
          </w:tcPr>
          <w:p w:rsidR="00D2622A" w:rsidRPr="009F59FD" w:rsidRDefault="000F3CB1" w:rsidP="009F59FD">
            <w:pPr>
              <w:pStyle w:val="ListParagraph"/>
              <w:numPr>
                <w:ilvl w:val="0"/>
                <w:numId w:val="22"/>
              </w:numPr>
              <w:spacing w:line="240" w:lineRule="auto"/>
              <w:rPr>
                <w:b/>
              </w:rPr>
            </w:pPr>
            <w:r>
              <w:rPr>
                <w:b/>
              </w:rPr>
              <w:t>Lecture and cooperative learning on the juvenile justice system</w:t>
            </w:r>
          </w:p>
        </w:tc>
      </w:tr>
      <w:tr w:rsidR="00D2622A" w:rsidTr="00C44E14">
        <w:trPr>
          <w:trHeight w:val="359"/>
        </w:trPr>
        <w:tc>
          <w:tcPr>
            <w:tcW w:w="828" w:type="dxa"/>
          </w:tcPr>
          <w:p w:rsidR="00D2622A" w:rsidRPr="009505D0" w:rsidRDefault="009F59FD" w:rsidP="00C44E14">
            <w:pPr>
              <w:spacing w:line="240" w:lineRule="auto"/>
              <w:rPr>
                <w:noProof/>
              </w:rPr>
            </w:pPr>
            <w:r>
              <w:rPr>
                <w:noProof/>
              </w:rPr>
              <w:t>4</w:t>
            </w:r>
          </w:p>
        </w:tc>
        <w:tc>
          <w:tcPr>
            <w:tcW w:w="12348" w:type="dxa"/>
            <w:gridSpan w:val="8"/>
          </w:tcPr>
          <w:p w:rsidR="00D2622A" w:rsidRPr="009F59FD" w:rsidRDefault="009F59FD" w:rsidP="009F59FD">
            <w:pPr>
              <w:pStyle w:val="ListParagraph"/>
              <w:numPr>
                <w:ilvl w:val="0"/>
                <w:numId w:val="22"/>
              </w:numPr>
              <w:spacing w:line="240" w:lineRule="auto"/>
              <w:rPr>
                <w:b/>
              </w:rPr>
            </w:pPr>
            <w:r>
              <w:rPr>
                <w:b/>
              </w:rPr>
              <w:t>Independent learning about careers in the legal profession</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C44E14">
        <w:trPr>
          <w:trHeight w:val="466"/>
        </w:trPr>
        <w:tc>
          <w:tcPr>
            <w:tcW w:w="828" w:type="dxa"/>
          </w:tcPr>
          <w:p w:rsidR="003A7E69" w:rsidRPr="009505D0" w:rsidRDefault="0060168A" w:rsidP="00C44E14">
            <w:pPr>
              <w:spacing w:line="240" w:lineRule="auto"/>
              <w:rPr>
                <w:noProof/>
              </w:rPr>
            </w:pPr>
            <w:r>
              <w:rPr>
                <w:noProof/>
              </w:rPr>
              <w:t>1</w:t>
            </w:r>
          </w:p>
        </w:tc>
        <w:tc>
          <w:tcPr>
            <w:tcW w:w="12348" w:type="dxa"/>
            <w:gridSpan w:val="8"/>
          </w:tcPr>
          <w:p w:rsidR="003A7E69" w:rsidRPr="0060168A" w:rsidRDefault="003D1518" w:rsidP="0060168A">
            <w:pPr>
              <w:pStyle w:val="ListParagraph"/>
              <w:numPr>
                <w:ilvl w:val="0"/>
                <w:numId w:val="21"/>
              </w:numPr>
              <w:spacing w:line="240" w:lineRule="auto"/>
              <w:rPr>
                <w:b/>
              </w:rPr>
            </w:pPr>
            <w:hyperlink r:id="rId13" w:history="1">
              <w:r w:rsidR="0060168A" w:rsidRPr="00BF0767">
                <w:rPr>
                  <w:rStyle w:val="Hyperlink"/>
                  <w:b/>
                </w:rPr>
                <w:t>State Court System</w:t>
              </w:r>
            </w:hyperlink>
          </w:p>
        </w:tc>
      </w:tr>
      <w:tr w:rsidR="0060168A" w:rsidTr="00C44E14">
        <w:trPr>
          <w:trHeight w:val="466"/>
        </w:trPr>
        <w:tc>
          <w:tcPr>
            <w:tcW w:w="828" w:type="dxa"/>
          </w:tcPr>
          <w:p w:rsidR="0060168A" w:rsidRPr="009505D0" w:rsidRDefault="0060168A" w:rsidP="00C44E14">
            <w:pPr>
              <w:spacing w:line="240" w:lineRule="auto"/>
              <w:rPr>
                <w:noProof/>
              </w:rPr>
            </w:pPr>
            <w:r>
              <w:rPr>
                <w:noProof/>
              </w:rPr>
              <w:t>1</w:t>
            </w:r>
          </w:p>
        </w:tc>
        <w:tc>
          <w:tcPr>
            <w:tcW w:w="12348" w:type="dxa"/>
            <w:gridSpan w:val="8"/>
          </w:tcPr>
          <w:p w:rsidR="0060168A" w:rsidRPr="0060168A" w:rsidRDefault="003D1518" w:rsidP="0060168A">
            <w:pPr>
              <w:pStyle w:val="ListParagraph"/>
              <w:numPr>
                <w:ilvl w:val="0"/>
                <w:numId w:val="21"/>
              </w:numPr>
              <w:spacing w:line="240" w:lineRule="auto"/>
              <w:rPr>
                <w:b/>
              </w:rPr>
            </w:pPr>
            <w:hyperlink r:id="rId14" w:history="1">
              <w:r w:rsidR="008E605D">
                <w:rPr>
                  <w:rStyle w:val="Hyperlink"/>
                  <w:b/>
                </w:rPr>
                <w:t>Federal</w:t>
              </w:r>
              <w:r w:rsidR="0060168A" w:rsidRPr="00BF0767">
                <w:rPr>
                  <w:rStyle w:val="Hyperlink"/>
                  <w:b/>
                </w:rPr>
                <w:t xml:space="preserve"> Court System</w:t>
              </w:r>
            </w:hyperlink>
          </w:p>
        </w:tc>
      </w:tr>
      <w:tr w:rsidR="0060168A" w:rsidTr="00C44E14">
        <w:trPr>
          <w:trHeight w:val="466"/>
        </w:trPr>
        <w:tc>
          <w:tcPr>
            <w:tcW w:w="828" w:type="dxa"/>
          </w:tcPr>
          <w:p w:rsidR="0060168A" w:rsidRPr="009505D0" w:rsidRDefault="0060168A" w:rsidP="00C44E14">
            <w:pPr>
              <w:spacing w:line="240" w:lineRule="auto"/>
              <w:rPr>
                <w:noProof/>
              </w:rPr>
            </w:pPr>
            <w:r>
              <w:rPr>
                <w:noProof/>
              </w:rPr>
              <w:t>1</w:t>
            </w:r>
          </w:p>
        </w:tc>
        <w:tc>
          <w:tcPr>
            <w:tcW w:w="12348" w:type="dxa"/>
            <w:gridSpan w:val="8"/>
          </w:tcPr>
          <w:p w:rsidR="0060168A" w:rsidRPr="0060168A" w:rsidRDefault="003D1518" w:rsidP="0060168A">
            <w:pPr>
              <w:pStyle w:val="ListParagraph"/>
              <w:numPr>
                <w:ilvl w:val="0"/>
                <w:numId w:val="21"/>
              </w:numPr>
              <w:spacing w:line="240" w:lineRule="auto"/>
              <w:rPr>
                <w:b/>
              </w:rPr>
            </w:pPr>
            <w:hyperlink r:id="rId15" w:history="1">
              <w:r w:rsidR="0060168A" w:rsidRPr="00BF0767">
                <w:rPr>
                  <w:rStyle w:val="Hyperlink"/>
                  <w:b/>
                </w:rPr>
                <w:t>Court System Scavenger Hunt</w:t>
              </w:r>
            </w:hyperlink>
          </w:p>
        </w:tc>
      </w:tr>
      <w:tr w:rsidR="0060168A" w:rsidTr="00C44E14">
        <w:trPr>
          <w:trHeight w:val="466"/>
        </w:trPr>
        <w:tc>
          <w:tcPr>
            <w:tcW w:w="828" w:type="dxa"/>
          </w:tcPr>
          <w:p w:rsidR="0060168A" w:rsidRPr="009505D0" w:rsidRDefault="0060168A" w:rsidP="00C44E14">
            <w:pPr>
              <w:spacing w:line="240" w:lineRule="auto"/>
              <w:rPr>
                <w:noProof/>
              </w:rPr>
            </w:pPr>
            <w:r>
              <w:rPr>
                <w:noProof/>
              </w:rPr>
              <w:t>2</w:t>
            </w:r>
          </w:p>
        </w:tc>
        <w:tc>
          <w:tcPr>
            <w:tcW w:w="12348" w:type="dxa"/>
            <w:gridSpan w:val="8"/>
          </w:tcPr>
          <w:p w:rsidR="0060168A" w:rsidRPr="0060168A" w:rsidRDefault="003D1518" w:rsidP="0060168A">
            <w:pPr>
              <w:pStyle w:val="ListParagraph"/>
              <w:numPr>
                <w:ilvl w:val="0"/>
                <w:numId w:val="21"/>
              </w:numPr>
              <w:spacing w:line="240" w:lineRule="auto"/>
              <w:rPr>
                <w:b/>
              </w:rPr>
            </w:pPr>
            <w:hyperlink r:id="rId16" w:history="1">
              <w:r w:rsidR="0060168A" w:rsidRPr="00BF0767">
                <w:rPr>
                  <w:rStyle w:val="Hyperlink"/>
                  <w:b/>
                </w:rPr>
                <w:t>The Jurisdiction Game</w:t>
              </w:r>
            </w:hyperlink>
          </w:p>
        </w:tc>
      </w:tr>
      <w:tr w:rsidR="003A7E69" w:rsidTr="00C44E14">
        <w:trPr>
          <w:trHeight w:val="466"/>
        </w:trPr>
        <w:tc>
          <w:tcPr>
            <w:tcW w:w="828" w:type="dxa"/>
          </w:tcPr>
          <w:p w:rsidR="003A7E69" w:rsidRPr="009505D0" w:rsidRDefault="008E605D" w:rsidP="00C44E14">
            <w:pPr>
              <w:spacing w:line="240" w:lineRule="auto"/>
              <w:rPr>
                <w:noProof/>
              </w:rPr>
            </w:pPr>
            <w:r>
              <w:rPr>
                <w:noProof/>
              </w:rPr>
              <w:t>3</w:t>
            </w:r>
          </w:p>
        </w:tc>
        <w:tc>
          <w:tcPr>
            <w:tcW w:w="12348" w:type="dxa"/>
            <w:gridSpan w:val="8"/>
          </w:tcPr>
          <w:p w:rsidR="003A7E69" w:rsidRPr="008E605D" w:rsidRDefault="003D1518" w:rsidP="008E605D">
            <w:pPr>
              <w:pStyle w:val="ListParagraph"/>
              <w:numPr>
                <w:ilvl w:val="0"/>
                <w:numId w:val="21"/>
              </w:numPr>
              <w:spacing w:line="240" w:lineRule="auto"/>
              <w:rPr>
                <w:b/>
              </w:rPr>
            </w:pPr>
            <w:hyperlink r:id="rId17" w:history="1">
              <w:r w:rsidR="008E605D" w:rsidRPr="00BF0767">
                <w:rPr>
                  <w:rStyle w:val="Hyperlink"/>
                  <w:b/>
                </w:rPr>
                <w:t>Introduction to Juvenile Justice</w:t>
              </w:r>
            </w:hyperlink>
          </w:p>
        </w:tc>
      </w:tr>
      <w:tr w:rsidR="003A7E69" w:rsidTr="00C44E14">
        <w:trPr>
          <w:trHeight w:val="466"/>
        </w:trPr>
        <w:tc>
          <w:tcPr>
            <w:tcW w:w="828" w:type="dxa"/>
          </w:tcPr>
          <w:p w:rsidR="003A7E69" w:rsidRPr="009505D0" w:rsidRDefault="008E605D" w:rsidP="00C44E14">
            <w:pPr>
              <w:spacing w:line="240" w:lineRule="auto"/>
              <w:rPr>
                <w:noProof/>
              </w:rPr>
            </w:pPr>
            <w:r>
              <w:rPr>
                <w:noProof/>
              </w:rPr>
              <w:t>4</w:t>
            </w:r>
          </w:p>
        </w:tc>
        <w:tc>
          <w:tcPr>
            <w:tcW w:w="12348" w:type="dxa"/>
            <w:gridSpan w:val="8"/>
          </w:tcPr>
          <w:p w:rsidR="003A7E69" w:rsidRPr="008E605D" w:rsidRDefault="003D1518" w:rsidP="008E605D">
            <w:pPr>
              <w:pStyle w:val="ListParagraph"/>
              <w:numPr>
                <w:ilvl w:val="0"/>
                <w:numId w:val="21"/>
              </w:numPr>
              <w:spacing w:line="240" w:lineRule="auto"/>
              <w:rPr>
                <w:b/>
              </w:rPr>
            </w:pPr>
            <w:hyperlink r:id="rId18" w:history="1">
              <w:r w:rsidR="008E605D" w:rsidRPr="00BF0767">
                <w:rPr>
                  <w:rStyle w:val="Hyperlink"/>
                  <w:b/>
                </w:rPr>
                <w:t>Jury Information Research</w:t>
              </w:r>
            </w:hyperlink>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Pr="00C44E14" w:rsidRDefault="000F47EE" w:rsidP="00BC4316">
            <w:pPr>
              <w:spacing w:line="240" w:lineRule="auto"/>
              <w:rPr>
                <w:b/>
              </w:rPr>
            </w:pPr>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19"/>
      <w:footerReference w:type="default" r:id="rId20"/>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550" w:rsidRDefault="00A16550" w:rsidP="00FD5A4D">
      <w:pPr>
        <w:spacing w:after="0" w:line="240" w:lineRule="auto"/>
      </w:pPr>
      <w:r>
        <w:separator/>
      </w:r>
    </w:p>
  </w:endnote>
  <w:endnote w:type="continuationSeparator" w:id="0">
    <w:p w:rsidR="00A16550" w:rsidRDefault="00A16550" w:rsidP="00FD5A4D">
      <w:pPr>
        <w:spacing w:after="0" w:line="240" w:lineRule="auto"/>
      </w:pPr>
      <w:r>
        <w:continuationSeparator/>
      </w:r>
    </w:p>
  </w:endnote>
  <w:endnote w:type="continuationNotice" w:id="1">
    <w:p w:rsidR="00A16550" w:rsidRDefault="00A16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50" w:rsidRDefault="00A16550"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3D1518">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D1518">
      <w:rPr>
        <w:b/>
        <w:noProof/>
      </w:rPr>
      <w:t>4</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550" w:rsidRDefault="00A16550" w:rsidP="00FD5A4D">
      <w:pPr>
        <w:spacing w:after="0" w:line="240" w:lineRule="auto"/>
      </w:pPr>
      <w:r>
        <w:separator/>
      </w:r>
    </w:p>
  </w:footnote>
  <w:footnote w:type="continuationSeparator" w:id="0">
    <w:p w:rsidR="00A16550" w:rsidRDefault="00A16550" w:rsidP="00FD5A4D">
      <w:pPr>
        <w:spacing w:after="0" w:line="240" w:lineRule="auto"/>
      </w:pPr>
      <w:r>
        <w:continuationSeparator/>
      </w:r>
    </w:p>
  </w:footnote>
  <w:footnote w:type="continuationNotice" w:id="1">
    <w:p w:rsidR="00A16550" w:rsidRDefault="00A1655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50" w:rsidRPr="006D3450" w:rsidRDefault="00A16550" w:rsidP="00FD5A4D">
    <w:pPr>
      <w:pStyle w:val="Header"/>
      <w:jc w:val="center"/>
      <w:rPr>
        <w:b/>
        <w:sz w:val="24"/>
        <w:szCs w:val="24"/>
      </w:rPr>
    </w:pPr>
    <w:r>
      <w:rPr>
        <w:b/>
        <w:sz w:val="24"/>
        <w:szCs w:val="24"/>
      </w:rPr>
      <w:t xml:space="preserve"> DESE Model Curriculum </w:t>
    </w:r>
  </w:p>
  <w:p w:rsidR="00A16550" w:rsidRDefault="00A16550" w:rsidP="0015225E">
    <w:pPr>
      <w:pStyle w:val="Header"/>
    </w:pPr>
    <w:r>
      <w:t>GRADE LEVEL/UNIT TITLE: 11-12/The Court System</w:t>
    </w:r>
    <w:r>
      <w:tab/>
    </w:r>
    <w:r>
      <w:tab/>
      <w:t>Course Code: 034321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673A7"/>
    <w:multiLevelType w:val="hybridMultilevel"/>
    <w:tmpl w:val="6A9E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76412C"/>
    <w:multiLevelType w:val="hybridMultilevel"/>
    <w:tmpl w:val="14DC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AF107A"/>
    <w:multiLevelType w:val="hybridMultilevel"/>
    <w:tmpl w:val="B07C2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0505CC"/>
    <w:multiLevelType w:val="hybridMultilevel"/>
    <w:tmpl w:val="24A2CF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18"/>
  </w:num>
  <w:num w:numId="4">
    <w:abstractNumId w:val="6"/>
  </w:num>
  <w:num w:numId="5">
    <w:abstractNumId w:val="13"/>
  </w:num>
  <w:num w:numId="6">
    <w:abstractNumId w:val="4"/>
  </w:num>
  <w:num w:numId="7">
    <w:abstractNumId w:val="10"/>
  </w:num>
  <w:num w:numId="8">
    <w:abstractNumId w:val="20"/>
  </w:num>
  <w:num w:numId="9">
    <w:abstractNumId w:val="3"/>
  </w:num>
  <w:num w:numId="10">
    <w:abstractNumId w:val="2"/>
  </w:num>
  <w:num w:numId="11">
    <w:abstractNumId w:val="19"/>
  </w:num>
  <w:num w:numId="12">
    <w:abstractNumId w:val="9"/>
  </w:num>
  <w:num w:numId="13">
    <w:abstractNumId w:val="5"/>
  </w:num>
  <w:num w:numId="14">
    <w:abstractNumId w:val="17"/>
  </w:num>
  <w:num w:numId="15">
    <w:abstractNumId w:val="14"/>
  </w:num>
  <w:num w:numId="16">
    <w:abstractNumId w:val="11"/>
  </w:num>
  <w:num w:numId="17">
    <w:abstractNumId w:val="12"/>
  </w:num>
  <w:num w:numId="18">
    <w:abstractNumId w:val="16"/>
  </w:num>
  <w:num w:numId="19">
    <w:abstractNumId w:val="1"/>
  </w:num>
  <w:num w:numId="20">
    <w:abstractNumId w:val="15"/>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4"/>
  <w:proofState w:spelling="clean" w:grammar="clean"/>
  <w:defaultTabStop w:val="720"/>
  <w:drawingGridHorizontalSpacing w:val="110"/>
  <w:displayHorizontalDrawingGridEvery w:val="2"/>
  <w:characterSpacingControl w:val="doNotCompress"/>
  <w:hdrShapeDefaults>
    <o:shapedefaults v:ext="edit" spidmax="30721">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3CB1"/>
    <w:rsid w:val="000F47EE"/>
    <w:rsid w:val="001270A2"/>
    <w:rsid w:val="0013604E"/>
    <w:rsid w:val="0015225E"/>
    <w:rsid w:val="001522D0"/>
    <w:rsid w:val="001731D1"/>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D1518"/>
    <w:rsid w:val="003F192D"/>
    <w:rsid w:val="003F1F66"/>
    <w:rsid w:val="004633F6"/>
    <w:rsid w:val="00467E84"/>
    <w:rsid w:val="004871C5"/>
    <w:rsid w:val="004E48C1"/>
    <w:rsid w:val="004F514F"/>
    <w:rsid w:val="00522002"/>
    <w:rsid w:val="00526777"/>
    <w:rsid w:val="00533968"/>
    <w:rsid w:val="00574E3C"/>
    <w:rsid w:val="005940E9"/>
    <w:rsid w:val="005A0F5D"/>
    <w:rsid w:val="0060168A"/>
    <w:rsid w:val="00621267"/>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322A8"/>
    <w:rsid w:val="00845D03"/>
    <w:rsid w:val="0086478D"/>
    <w:rsid w:val="008B1BC2"/>
    <w:rsid w:val="008B5FD1"/>
    <w:rsid w:val="008B69A1"/>
    <w:rsid w:val="008D6425"/>
    <w:rsid w:val="008E605D"/>
    <w:rsid w:val="008E66A3"/>
    <w:rsid w:val="00917334"/>
    <w:rsid w:val="0094250B"/>
    <w:rsid w:val="00942F08"/>
    <w:rsid w:val="009505D0"/>
    <w:rsid w:val="009C2B9E"/>
    <w:rsid w:val="009F59FD"/>
    <w:rsid w:val="00A16550"/>
    <w:rsid w:val="00A33DF8"/>
    <w:rsid w:val="00A5553E"/>
    <w:rsid w:val="00AC243F"/>
    <w:rsid w:val="00B05A7F"/>
    <w:rsid w:val="00B13A4E"/>
    <w:rsid w:val="00BB21C0"/>
    <w:rsid w:val="00BB7AD7"/>
    <w:rsid w:val="00BC09A6"/>
    <w:rsid w:val="00BC4316"/>
    <w:rsid w:val="00C10270"/>
    <w:rsid w:val="00C131A8"/>
    <w:rsid w:val="00C15E0C"/>
    <w:rsid w:val="00C303BA"/>
    <w:rsid w:val="00C44E14"/>
    <w:rsid w:val="00C50A53"/>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uiPriority w:val="99"/>
    <w:unhideWhenUsed/>
    <w:rsid w:val="006016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ucmo\data\mcce\Curriculum%20-%20Business\Business%20Law\BL%20Unit%202\State%20Court%20System.doc" TargetMode="External"/><Relationship Id="rId18" Type="http://schemas.openxmlformats.org/officeDocument/2006/relationships/hyperlink" Target="file:///\\ucmo\data\mcce\Curriculum%20-%20Business\Business%20Law\BL%20Unit%202\Jury%20Information%20Research.do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file:///\\ucmo\data\mcce\Curriculum%20-%20Business\Business%20Law\BL%20Unit%202\The%20Court%20System%20Assessment%201.doc" TargetMode="External"/><Relationship Id="rId17" Type="http://schemas.openxmlformats.org/officeDocument/2006/relationships/hyperlink" Target="http://members.mobar.org/MoBar_Educators/Juvenile%20Justice.html" TargetMode="External"/><Relationship Id="rId2" Type="http://schemas.openxmlformats.org/officeDocument/2006/relationships/customXml" Target="../customXml/item2.xml"/><Relationship Id="rId16" Type="http://schemas.openxmlformats.org/officeDocument/2006/relationships/hyperlink" Target="jurisdiction_game%5b1%5d.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libec.org/pdf/court_system.pdf"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ucmo\data\mcce\Curriculum%20-%20Business\Business%20Law\BL%20Unit%202\State%20Court%20System.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B3557CE-106F-48DD-861E-688670B5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6</cp:revision>
  <cp:lastPrinted>2012-03-22T17:48:00Z</cp:lastPrinted>
  <dcterms:created xsi:type="dcterms:W3CDTF">2012-06-19T17:24:00Z</dcterms:created>
  <dcterms:modified xsi:type="dcterms:W3CDTF">2012-07-13T13:47:00Z</dcterms:modified>
</cp:coreProperties>
</file>