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22AA4" w:rsidRPr="00A22AA4" w:rsidRDefault="00A22AA4" w:rsidP="00A22AA4">
            <w:pPr>
              <w:autoSpaceDE w:val="0"/>
              <w:autoSpaceDN w:val="0"/>
              <w:adjustRightInd w:val="0"/>
              <w:spacing w:after="0" w:line="240" w:lineRule="auto"/>
              <w:rPr>
                <w:rFonts w:cs="Tahoma"/>
              </w:rPr>
            </w:pPr>
            <w:r w:rsidRPr="00A22AA4">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A22AA4" w:rsidRPr="00A22AA4" w:rsidRDefault="00A22AA4" w:rsidP="00A22AA4">
            <w:pPr>
              <w:autoSpaceDE w:val="0"/>
              <w:autoSpaceDN w:val="0"/>
              <w:adjustRightInd w:val="0"/>
              <w:spacing w:after="0" w:line="240" w:lineRule="auto"/>
              <w:rPr>
                <w:rFonts w:cs="Tahoma"/>
              </w:rPr>
            </w:pPr>
          </w:p>
          <w:p w:rsidR="00A22AA4" w:rsidRPr="00A22AA4" w:rsidRDefault="00A22AA4" w:rsidP="00A22AA4">
            <w:pPr>
              <w:autoSpaceDE w:val="0"/>
              <w:autoSpaceDN w:val="0"/>
              <w:adjustRightInd w:val="0"/>
              <w:spacing w:after="0" w:line="240" w:lineRule="auto"/>
              <w:rPr>
                <w:rFonts w:cs="Tahoma"/>
              </w:rPr>
            </w:pPr>
            <w:r w:rsidRPr="00A22AA4">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4C7286"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A22AA4" w:rsidRPr="00A22AA4">
              <w:t>Students will investigate how torts differ from crimes.  They will also learn how personal responsibility impacts civil cases.</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22AA4">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A22AA4" w:rsidRPr="004047AC" w:rsidRDefault="00A22AA4" w:rsidP="00A22AA4">
            <w:pPr>
              <w:pStyle w:val="ListParagraph"/>
              <w:numPr>
                <w:ilvl w:val="0"/>
                <w:numId w:val="18"/>
              </w:numPr>
              <w:spacing w:after="0" w:line="240" w:lineRule="auto"/>
              <w:rPr>
                <w:rFonts w:cs="Calibri"/>
              </w:rPr>
            </w:pPr>
            <w:r w:rsidRPr="004047AC">
              <w:rPr>
                <w:rFonts w:cs="Calibri"/>
              </w:rPr>
              <w:t>Why might a simple act of carelessness result in a legal action?</w:t>
            </w:r>
          </w:p>
          <w:p w:rsidR="00A22AA4" w:rsidRPr="004047AC" w:rsidRDefault="00A22AA4" w:rsidP="00A22AA4">
            <w:pPr>
              <w:pStyle w:val="ListParagraph"/>
              <w:numPr>
                <w:ilvl w:val="0"/>
                <w:numId w:val="18"/>
              </w:numPr>
              <w:spacing w:after="0" w:line="240" w:lineRule="auto"/>
              <w:rPr>
                <w:rFonts w:cs="Calibri"/>
              </w:rPr>
            </w:pPr>
            <w:r w:rsidRPr="004047AC">
              <w:rPr>
                <w:rFonts w:cs="Calibri"/>
              </w:rPr>
              <w:t>When can a tort also be considered a crime?</w:t>
            </w:r>
          </w:p>
          <w:p w:rsidR="00A22AA4" w:rsidRPr="004047AC" w:rsidRDefault="00A22AA4" w:rsidP="00A22AA4">
            <w:pPr>
              <w:pStyle w:val="ListParagraph"/>
              <w:numPr>
                <w:ilvl w:val="0"/>
                <w:numId w:val="18"/>
              </w:numPr>
              <w:spacing w:after="0" w:line="240" w:lineRule="auto"/>
              <w:rPr>
                <w:rFonts w:cs="Calibri"/>
              </w:rPr>
            </w:pPr>
            <w:r w:rsidRPr="004047AC">
              <w:rPr>
                <w:rFonts w:cs="Calibri"/>
              </w:rPr>
              <w:t>How could both parties be held responsible in a civil case?</w:t>
            </w:r>
          </w:p>
          <w:p w:rsidR="00A22AA4" w:rsidRPr="004047AC" w:rsidRDefault="00A22AA4" w:rsidP="00A22AA4">
            <w:pPr>
              <w:pStyle w:val="ListParagraph"/>
              <w:numPr>
                <w:ilvl w:val="0"/>
                <w:numId w:val="18"/>
              </w:numPr>
              <w:spacing w:after="0" w:line="240" w:lineRule="auto"/>
              <w:rPr>
                <w:rFonts w:cs="Calibri"/>
              </w:rPr>
            </w:pPr>
            <w:r w:rsidRPr="004047AC">
              <w:rPr>
                <w:rFonts w:cs="Calibri"/>
              </w:rPr>
              <w:t>How might a civil trial differ from a criminal trial?</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B25E50"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80447A" w:rsidRDefault="00B25E50" w:rsidP="00B25E50">
            <w:pPr>
              <w:pStyle w:val="ListParagraph"/>
              <w:numPr>
                <w:ilvl w:val="0"/>
                <w:numId w:val="20"/>
              </w:numPr>
              <w:spacing w:after="0" w:line="240" w:lineRule="auto"/>
              <w:rPr>
                <w:rFonts w:ascii="Times New Roman" w:hAnsi="Times New Roman"/>
              </w:rPr>
            </w:pPr>
            <w:r w:rsidRPr="00B25E50">
              <w:rPr>
                <w:rFonts w:cs="Calibri"/>
              </w:rPr>
              <w:t>Distinguish between a tort and a crime.</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4D1737" w:rsidRDefault="004D1737" w:rsidP="005A0F5D">
            <w:pPr>
              <w:spacing w:after="0" w:line="240" w:lineRule="auto"/>
            </w:pPr>
            <w:r w:rsidRPr="004D1737">
              <w:t>SL11-12.4</w:t>
            </w:r>
          </w:p>
          <w:p w:rsidR="004D1737" w:rsidRPr="004D1737" w:rsidRDefault="004D1737" w:rsidP="005A0F5D">
            <w:pPr>
              <w:spacing w:after="0" w:line="240" w:lineRule="auto"/>
            </w:pPr>
            <w:r w:rsidRPr="004D1737">
              <w:t>RH11-12.1</w:t>
            </w:r>
          </w:p>
        </w:tc>
        <w:tc>
          <w:tcPr>
            <w:tcW w:w="1316" w:type="dxa"/>
            <w:shd w:val="clear" w:color="auto" w:fill="auto"/>
          </w:tcPr>
          <w:p w:rsidR="00321BC1" w:rsidRPr="004D1737" w:rsidRDefault="0089420F" w:rsidP="005A0F5D">
            <w:pPr>
              <w:spacing w:after="0" w:line="240" w:lineRule="auto"/>
              <w:jc w:val="center"/>
            </w:pPr>
            <w:r w:rsidRPr="004D1737">
              <w:t>BLI.E.3.4</w:t>
            </w:r>
          </w:p>
        </w:tc>
        <w:tc>
          <w:tcPr>
            <w:tcW w:w="814" w:type="dxa"/>
            <w:shd w:val="clear" w:color="auto" w:fill="auto"/>
          </w:tcPr>
          <w:p w:rsidR="003B76EF" w:rsidRPr="004D1737" w:rsidRDefault="00E277D1" w:rsidP="005A0F5D">
            <w:pPr>
              <w:spacing w:after="0" w:line="240" w:lineRule="auto"/>
              <w:jc w:val="center"/>
            </w:pPr>
            <w:r w:rsidRPr="004D1737">
              <w:t>2</w:t>
            </w:r>
          </w:p>
        </w:tc>
      </w:tr>
      <w:tr w:rsidR="00286FAE" w:rsidTr="00C44E14">
        <w:trPr>
          <w:trHeight w:val="466"/>
        </w:trPr>
        <w:tc>
          <w:tcPr>
            <w:tcW w:w="4989" w:type="dxa"/>
            <w:gridSpan w:val="2"/>
          </w:tcPr>
          <w:p w:rsidR="00286FAE" w:rsidRPr="00B25E50" w:rsidRDefault="00B25E50" w:rsidP="00B25E50">
            <w:pPr>
              <w:pStyle w:val="ListParagraph"/>
              <w:numPr>
                <w:ilvl w:val="0"/>
                <w:numId w:val="20"/>
              </w:numPr>
              <w:spacing w:after="0" w:line="240" w:lineRule="auto"/>
              <w:rPr>
                <w:rFonts w:cs="Calibri"/>
              </w:rPr>
            </w:pPr>
            <w:r w:rsidRPr="00B25E50">
              <w:rPr>
                <w:rFonts w:cs="Calibri"/>
              </w:rPr>
              <w:t>Differentiate between intentional and unintentional torts.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4D1737" w:rsidRDefault="004D1737" w:rsidP="005A0F5D">
            <w:pPr>
              <w:spacing w:after="0" w:line="240" w:lineRule="auto"/>
            </w:pPr>
            <w:r w:rsidRPr="004D1737">
              <w:t>SL11-12.4</w:t>
            </w:r>
          </w:p>
          <w:p w:rsidR="004D1737" w:rsidRPr="004D1737" w:rsidRDefault="004D1737" w:rsidP="005A0F5D">
            <w:pPr>
              <w:spacing w:after="0" w:line="240" w:lineRule="auto"/>
            </w:pPr>
            <w:r w:rsidRPr="004D1737">
              <w:t>WHST11-12.2</w:t>
            </w:r>
          </w:p>
          <w:p w:rsidR="004D1737" w:rsidRPr="004D1737" w:rsidRDefault="004D1737" w:rsidP="005A0F5D">
            <w:pPr>
              <w:spacing w:after="0" w:line="240" w:lineRule="auto"/>
            </w:pPr>
            <w:r w:rsidRPr="004D1737">
              <w:t>RI11-12.2</w:t>
            </w:r>
          </w:p>
          <w:p w:rsidR="004D1737" w:rsidRPr="004D1737" w:rsidRDefault="004D1737" w:rsidP="005A0F5D">
            <w:pPr>
              <w:spacing w:after="0" w:line="240" w:lineRule="auto"/>
            </w:pPr>
            <w:r w:rsidRPr="004D1737">
              <w:t>RH11-12.1</w:t>
            </w:r>
          </w:p>
        </w:tc>
        <w:tc>
          <w:tcPr>
            <w:tcW w:w="1316" w:type="dxa"/>
            <w:shd w:val="clear" w:color="auto" w:fill="auto"/>
          </w:tcPr>
          <w:p w:rsidR="00286FAE" w:rsidRPr="001C225C" w:rsidRDefault="0089420F" w:rsidP="005A0F5D">
            <w:pPr>
              <w:spacing w:after="0" w:line="240" w:lineRule="auto"/>
              <w:jc w:val="center"/>
              <w:rPr>
                <w:lang w:val="de-DE"/>
              </w:rPr>
            </w:pPr>
            <w:r w:rsidRPr="001C225C">
              <w:rPr>
                <w:lang w:val="de-DE"/>
              </w:rPr>
              <w:t>BLI.E.3.5</w:t>
            </w:r>
          </w:p>
          <w:p w:rsidR="0089420F" w:rsidRPr="001C225C" w:rsidRDefault="0089420F" w:rsidP="005A0F5D">
            <w:pPr>
              <w:spacing w:after="0" w:line="240" w:lineRule="auto"/>
              <w:jc w:val="center"/>
              <w:rPr>
                <w:lang w:val="de-DE"/>
              </w:rPr>
            </w:pPr>
            <w:r w:rsidRPr="001C225C">
              <w:rPr>
                <w:lang w:val="de-DE"/>
              </w:rPr>
              <w:t>BLI.E.3.7</w:t>
            </w:r>
          </w:p>
          <w:p w:rsidR="0089420F" w:rsidRPr="001C225C" w:rsidRDefault="0089420F" w:rsidP="005A0F5D">
            <w:pPr>
              <w:spacing w:after="0" w:line="240" w:lineRule="auto"/>
              <w:jc w:val="center"/>
              <w:rPr>
                <w:lang w:val="de-DE"/>
              </w:rPr>
            </w:pPr>
            <w:r w:rsidRPr="001C225C">
              <w:rPr>
                <w:lang w:val="de-DE"/>
              </w:rPr>
              <w:t>BLI.E.3.8</w:t>
            </w:r>
          </w:p>
        </w:tc>
        <w:tc>
          <w:tcPr>
            <w:tcW w:w="814" w:type="dxa"/>
            <w:shd w:val="clear" w:color="auto" w:fill="auto"/>
          </w:tcPr>
          <w:p w:rsidR="00286FAE" w:rsidRPr="004D1737" w:rsidRDefault="00E277D1" w:rsidP="005A0F5D">
            <w:pPr>
              <w:spacing w:after="0" w:line="240" w:lineRule="auto"/>
              <w:jc w:val="center"/>
            </w:pPr>
            <w:r w:rsidRPr="004D1737">
              <w:t>3</w:t>
            </w:r>
          </w:p>
        </w:tc>
      </w:tr>
      <w:tr w:rsidR="00286FAE" w:rsidTr="00C44E14">
        <w:trPr>
          <w:trHeight w:val="466"/>
        </w:trPr>
        <w:tc>
          <w:tcPr>
            <w:tcW w:w="4989" w:type="dxa"/>
            <w:gridSpan w:val="2"/>
          </w:tcPr>
          <w:p w:rsidR="00286FAE" w:rsidRPr="00B25E50" w:rsidRDefault="00B25E50" w:rsidP="00B25E50">
            <w:pPr>
              <w:pStyle w:val="ListParagraph"/>
              <w:numPr>
                <w:ilvl w:val="0"/>
                <w:numId w:val="20"/>
              </w:numPr>
              <w:spacing w:after="0" w:line="240" w:lineRule="auto"/>
              <w:rPr>
                <w:rFonts w:cs="Calibri"/>
              </w:rPr>
            </w:pPr>
            <w:r w:rsidRPr="00B25E50">
              <w:rPr>
                <w:rFonts w:cs="Calibri"/>
              </w:rPr>
              <w:t>Define litigation and alternate dispute resolution</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4D1737" w:rsidRDefault="004D1737" w:rsidP="005A0F5D">
            <w:pPr>
              <w:spacing w:after="0" w:line="240" w:lineRule="auto"/>
            </w:pPr>
            <w:r w:rsidRPr="004D1737">
              <w:t>SL11-12.1</w:t>
            </w:r>
          </w:p>
          <w:p w:rsidR="004D1737" w:rsidRPr="004D1737" w:rsidRDefault="004D1737" w:rsidP="005A0F5D">
            <w:pPr>
              <w:spacing w:after="0" w:line="240" w:lineRule="auto"/>
            </w:pPr>
            <w:r w:rsidRPr="004D1737">
              <w:t>SL11-12.4</w:t>
            </w:r>
          </w:p>
          <w:p w:rsidR="004D1737" w:rsidRPr="004D1737" w:rsidRDefault="004D1737" w:rsidP="005A0F5D">
            <w:pPr>
              <w:spacing w:after="0" w:line="240" w:lineRule="auto"/>
            </w:pPr>
            <w:r w:rsidRPr="004D1737">
              <w:t>WHST11-12.2</w:t>
            </w:r>
          </w:p>
        </w:tc>
        <w:tc>
          <w:tcPr>
            <w:tcW w:w="1316" w:type="dxa"/>
            <w:shd w:val="clear" w:color="auto" w:fill="auto"/>
          </w:tcPr>
          <w:p w:rsidR="00286FAE" w:rsidRPr="004D1737" w:rsidRDefault="0089420F" w:rsidP="005A0F5D">
            <w:pPr>
              <w:spacing w:after="0" w:line="240" w:lineRule="auto"/>
              <w:jc w:val="center"/>
            </w:pPr>
            <w:r w:rsidRPr="004D1737">
              <w:t>BLI.D.3.1</w:t>
            </w:r>
          </w:p>
          <w:p w:rsidR="0089420F" w:rsidRPr="004D1737" w:rsidRDefault="0089420F" w:rsidP="005A0F5D">
            <w:pPr>
              <w:spacing w:after="0" w:line="240" w:lineRule="auto"/>
              <w:jc w:val="center"/>
            </w:pPr>
            <w:r w:rsidRPr="004D1737">
              <w:t>BLI.D.3.2</w:t>
            </w:r>
          </w:p>
          <w:p w:rsidR="0089420F" w:rsidRPr="004D1737" w:rsidRDefault="0089420F" w:rsidP="005A0F5D">
            <w:pPr>
              <w:spacing w:after="0" w:line="240" w:lineRule="auto"/>
              <w:jc w:val="center"/>
            </w:pPr>
            <w:r w:rsidRPr="004D1737">
              <w:t>BLI.D.3.4</w:t>
            </w:r>
          </w:p>
        </w:tc>
        <w:tc>
          <w:tcPr>
            <w:tcW w:w="814" w:type="dxa"/>
            <w:shd w:val="clear" w:color="auto" w:fill="auto"/>
          </w:tcPr>
          <w:p w:rsidR="00286FAE" w:rsidRPr="004D1737" w:rsidRDefault="00E277D1" w:rsidP="005A0F5D">
            <w:pPr>
              <w:spacing w:after="0" w:line="240" w:lineRule="auto"/>
              <w:jc w:val="center"/>
            </w:pPr>
            <w:r w:rsidRPr="004D1737">
              <w:t>1</w:t>
            </w:r>
          </w:p>
        </w:tc>
      </w:tr>
      <w:tr w:rsidR="00286FAE" w:rsidTr="00C44E14">
        <w:trPr>
          <w:trHeight w:val="466"/>
        </w:trPr>
        <w:tc>
          <w:tcPr>
            <w:tcW w:w="4989" w:type="dxa"/>
            <w:gridSpan w:val="2"/>
          </w:tcPr>
          <w:p w:rsidR="00286FAE" w:rsidRPr="00B25E50" w:rsidRDefault="00B25E50" w:rsidP="00B25E50">
            <w:pPr>
              <w:pStyle w:val="ListParagraph"/>
              <w:numPr>
                <w:ilvl w:val="0"/>
                <w:numId w:val="20"/>
              </w:numPr>
              <w:spacing w:after="0" w:line="240" w:lineRule="auto"/>
              <w:rPr>
                <w:rFonts w:cs="Calibri"/>
              </w:rPr>
            </w:pPr>
            <w:r w:rsidRPr="00B25E50">
              <w:rPr>
                <w:rFonts w:cs="Calibri"/>
              </w:rPr>
              <w:t xml:space="preserve">List steps in a civil trial </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4D1737" w:rsidRDefault="004D1737" w:rsidP="005A0F5D">
            <w:pPr>
              <w:spacing w:after="0" w:line="240" w:lineRule="auto"/>
            </w:pPr>
            <w:r w:rsidRPr="004D1737">
              <w:t>WHST11-12.2</w:t>
            </w:r>
          </w:p>
          <w:p w:rsidR="004D1737" w:rsidRPr="004D1737" w:rsidRDefault="004D1737" w:rsidP="005A0F5D">
            <w:pPr>
              <w:spacing w:after="0" w:line="240" w:lineRule="auto"/>
            </w:pPr>
            <w:r w:rsidRPr="004D1737">
              <w:t>SL11-12.4</w:t>
            </w:r>
          </w:p>
        </w:tc>
        <w:tc>
          <w:tcPr>
            <w:tcW w:w="1316" w:type="dxa"/>
            <w:shd w:val="clear" w:color="auto" w:fill="auto"/>
          </w:tcPr>
          <w:p w:rsidR="00286FAE" w:rsidRPr="004D1737" w:rsidRDefault="0089420F" w:rsidP="005A0F5D">
            <w:pPr>
              <w:spacing w:after="0" w:line="240" w:lineRule="auto"/>
              <w:jc w:val="center"/>
            </w:pPr>
            <w:r w:rsidRPr="004D1737">
              <w:t>BLI.D.3.5</w:t>
            </w:r>
          </w:p>
          <w:p w:rsidR="0089420F" w:rsidRPr="004D1737" w:rsidRDefault="0089420F" w:rsidP="005A0F5D">
            <w:pPr>
              <w:spacing w:after="0" w:line="240" w:lineRule="auto"/>
              <w:jc w:val="center"/>
            </w:pPr>
            <w:r w:rsidRPr="004D1737">
              <w:t>BLI.D.3.6</w:t>
            </w:r>
          </w:p>
          <w:p w:rsidR="0089420F" w:rsidRPr="004D1737" w:rsidRDefault="0089420F" w:rsidP="005A0F5D">
            <w:pPr>
              <w:spacing w:after="0" w:line="240" w:lineRule="auto"/>
              <w:jc w:val="center"/>
            </w:pPr>
            <w:r w:rsidRPr="004D1737">
              <w:t>BLI.D.3.7</w:t>
            </w:r>
          </w:p>
        </w:tc>
        <w:tc>
          <w:tcPr>
            <w:tcW w:w="814" w:type="dxa"/>
            <w:shd w:val="clear" w:color="auto" w:fill="auto"/>
          </w:tcPr>
          <w:p w:rsidR="00286FAE" w:rsidRPr="004D1737" w:rsidRDefault="00E277D1" w:rsidP="005A0F5D">
            <w:pPr>
              <w:spacing w:after="0" w:line="240" w:lineRule="auto"/>
              <w:jc w:val="center"/>
            </w:pPr>
            <w:r w:rsidRPr="004D1737">
              <w:t>1</w:t>
            </w:r>
          </w:p>
        </w:tc>
      </w:tr>
      <w:tr w:rsidR="00286FAE" w:rsidTr="00C44E14">
        <w:trPr>
          <w:trHeight w:val="466"/>
        </w:trPr>
        <w:tc>
          <w:tcPr>
            <w:tcW w:w="4989" w:type="dxa"/>
            <w:gridSpan w:val="2"/>
          </w:tcPr>
          <w:p w:rsidR="00286FAE" w:rsidRPr="00B25E50" w:rsidRDefault="00B25E50" w:rsidP="00B25E50">
            <w:pPr>
              <w:pStyle w:val="ListParagraph"/>
              <w:numPr>
                <w:ilvl w:val="0"/>
                <w:numId w:val="20"/>
              </w:numPr>
              <w:tabs>
                <w:tab w:val="left" w:pos="220"/>
              </w:tabs>
              <w:spacing w:after="0" w:line="240" w:lineRule="auto"/>
              <w:rPr>
                <w:rFonts w:ascii="Times New Roman" w:hAnsi="Times New Roman"/>
              </w:rPr>
            </w:pPr>
            <w:r w:rsidRPr="00B25E50">
              <w:rPr>
                <w:rFonts w:cs="Calibri"/>
              </w:rPr>
              <w:t>Describe remedies available in tort law</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286FAE" w:rsidRPr="004D1737" w:rsidRDefault="004D1737" w:rsidP="005A0F5D">
            <w:pPr>
              <w:spacing w:after="0" w:line="240" w:lineRule="auto"/>
            </w:pPr>
            <w:r w:rsidRPr="004D1737">
              <w:t>WHST11-12.1</w:t>
            </w:r>
          </w:p>
          <w:p w:rsidR="004D1737" w:rsidRPr="004D1737" w:rsidRDefault="004D1737" w:rsidP="005A0F5D">
            <w:pPr>
              <w:spacing w:after="0" w:line="240" w:lineRule="auto"/>
            </w:pPr>
            <w:r w:rsidRPr="004D1737">
              <w:t>RI11-12.9</w:t>
            </w:r>
          </w:p>
        </w:tc>
        <w:tc>
          <w:tcPr>
            <w:tcW w:w="1316" w:type="dxa"/>
            <w:shd w:val="clear" w:color="auto" w:fill="auto"/>
          </w:tcPr>
          <w:p w:rsidR="00286FAE" w:rsidRPr="004D1737" w:rsidRDefault="00E277D1" w:rsidP="005A0F5D">
            <w:pPr>
              <w:spacing w:after="0" w:line="240" w:lineRule="auto"/>
              <w:jc w:val="center"/>
            </w:pPr>
            <w:r w:rsidRPr="004D1737">
              <w:t>BLI.E.3.9</w:t>
            </w:r>
          </w:p>
        </w:tc>
        <w:tc>
          <w:tcPr>
            <w:tcW w:w="814" w:type="dxa"/>
            <w:shd w:val="clear" w:color="auto" w:fill="auto"/>
          </w:tcPr>
          <w:p w:rsidR="00286FAE" w:rsidRPr="004D1737" w:rsidRDefault="00E277D1" w:rsidP="005A0F5D">
            <w:pPr>
              <w:spacing w:after="0" w:line="240" w:lineRule="auto"/>
              <w:jc w:val="center"/>
            </w:pPr>
            <w:r w:rsidRPr="004D1737">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89420F" w:rsidRPr="0089420F" w:rsidRDefault="00AC426A" w:rsidP="0089420F">
            <w:pPr>
              <w:spacing w:line="240" w:lineRule="auto"/>
            </w:pPr>
            <w:hyperlink r:id="rId12" w:history="1">
              <w:r w:rsidR="0089420F" w:rsidRPr="0089420F">
                <w:rPr>
                  <w:rStyle w:val="Hyperlink"/>
                </w:rPr>
                <w:t>Assessment 1</w:t>
              </w:r>
            </w:hyperlink>
            <w:r w:rsidR="0089420F" w:rsidRPr="0089420F">
              <w:t xml:space="preserve"> – Tort Law </w:t>
            </w:r>
            <w:r w:rsidR="00A11965">
              <w:t>(</w:t>
            </w:r>
            <w:r w:rsidR="0089420F" w:rsidRPr="0089420F">
              <w:t>summative assessment</w:t>
            </w:r>
            <w:r w:rsidR="00A11965">
              <w:t>)</w:t>
            </w:r>
          </w:p>
          <w:p w:rsidR="0089420F" w:rsidRPr="0089420F" w:rsidRDefault="00AC426A" w:rsidP="0089420F">
            <w:pPr>
              <w:spacing w:line="240" w:lineRule="auto"/>
            </w:pPr>
            <w:hyperlink r:id="rId13" w:history="1">
              <w:r w:rsidR="0089420F" w:rsidRPr="0089420F">
                <w:rPr>
                  <w:rStyle w:val="Hyperlink"/>
                </w:rPr>
                <w:t>Assessment 2</w:t>
              </w:r>
            </w:hyperlink>
            <w:r w:rsidR="0089420F" w:rsidRPr="0089420F">
              <w:t xml:space="preserve"> – Tort Law </w:t>
            </w:r>
            <w:r w:rsidR="00A11965">
              <w:t>(</w:t>
            </w:r>
            <w:r w:rsidR="0089420F" w:rsidRPr="0089420F">
              <w:t>summative assessment</w:t>
            </w:r>
            <w:r w:rsidR="00A11965">
              <w:t>)</w:t>
            </w:r>
          </w:p>
          <w:p w:rsidR="0089420F" w:rsidRPr="0089420F" w:rsidRDefault="00AC426A" w:rsidP="0089420F">
            <w:pPr>
              <w:spacing w:line="240" w:lineRule="auto"/>
            </w:pPr>
            <w:hyperlink r:id="rId14" w:history="1">
              <w:r w:rsidR="0089420F" w:rsidRPr="0089420F">
                <w:rPr>
                  <w:rStyle w:val="Hyperlink"/>
                </w:rPr>
                <w:t>Assessment 3</w:t>
              </w:r>
            </w:hyperlink>
            <w:r w:rsidR="0089420F" w:rsidRPr="0089420F">
              <w:t xml:space="preserve"> – Tort Law </w:t>
            </w:r>
            <w:r w:rsidR="00A11965">
              <w:t>(forma</w:t>
            </w:r>
            <w:r w:rsidR="0089420F" w:rsidRPr="0089420F">
              <w:t>tive assessment</w:t>
            </w:r>
            <w:r w:rsidR="00A11965">
              <w:t>)</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A11965" w:rsidP="00C44E14">
            <w:pPr>
              <w:spacing w:line="240" w:lineRule="auto"/>
              <w:rPr>
                <w:noProof/>
              </w:rPr>
            </w:pPr>
            <w:r>
              <w:rPr>
                <w:noProof/>
              </w:rPr>
              <w:t>1</w:t>
            </w:r>
          </w:p>
        </w:tc>
        <w:tc>
          <w:tcPr>
            <w:tcW w:w="12348" w:type="dxa"/>
            <w:gridSpan w:val="8"/>
          </w:tcPr>
          <w:p w:rsidR="00D2622A" w:rsidRPr="00732A25" w:rsidRDefault="00A11965" w:rsidP="00732A25">
            <w:pPr>
              <w:pStyle w:val="ListParagraph"/>
              <w:numPr>
                <w:ilvl w:val="0"/>
                <w:numId w:val="22"/>
              </w:numPr>
              <w:spacing w:line="240" w:lineRule="auto"/>
              <w:rPr>
                <w:b/>
              </w:rPr>
            </w:pPr>
            <w:r w:rsidRPr="00732A25">
              <w:rPr>
                <w:b/>
              </w:rPr>
              <w:t>Independent learning activity comparing criminal and tort law</w:t>
            </w:r>
          </w:p>
        </w:tc>
      </w:tr>
      <w:tr w:rsidR="00D2622A" w:rsidTr="00C44E14">
        <w:trPr>
          <w:trHeight w:val="359"/>
        </w:trPr>
        <w:tc>
          <w:tcPr>
            <w:tcW w:w="828" w:type="dxa"/>
          </w:tcPr>
          <w:p w:rsidR="00D2622A" w:rsidRPr="009505D0" w:rsidRDefault="00A11965" w:rsidP="00C44E14">
            <w:pPr>
              <w:spacing w:line="240" w:lineRule="auto"/>
              <w:rPr>
                <w:noProof/>
              </w:rPr>
            </w:pPr>
            <w:r>
              <w:rPr>
                <w:noProof/>
              </w:rPr>
              <w:t>2</w:t>
            </w:r>
          </w:p>
        </w:tc>
        <w:tc>
          <w:tcPr>
            <w:tcW w:w="12348" w:type="dxa"/>
            <w:gridSpan w:val="8"/>
          </w:tcPr>
          <w:p w:rsidR="00D2622A" w:rsidRPr="00732A25" w:rsidRDefault="00B21160" w:rsidP="00732A25">
            <w:pPr>
              <w:pStyle w:val="ListParagraph"/>
              <w:numPr>
                <w:ilvl w:val="0"/>
                <w:numId w:val="22"/>
              </w:numPr>
              <w:spacing w:line="240" w:lineRule="auto"/>
              <w:rPr>
                <w:b/>
              </w:rPr>
            </w:pPr>
            <w:r w:rsidRPr="00732A25">
              <w:rPr>
                <w:b/>
              </w:rPr>
              <w:t>Independent learning activity on intentional torts</w:t>
            </w:r>
          </w:p>
        </w:tc>
      </w:tr>
      <w:tr w:rsidR="00D2622A" w:rsidTr="00C44E14">
        <w:trPr>
          <w:trHeight w:val="359"/>
        </w:trPr>
        <w:tc>
          <w:tcPr>
            <w:tcW w:w="828" w:type="dxa"/>
          </w:tcPr>
          <w:p w:rsidR="00D2622A" w:rsidRPr="009505D0" w:rsidRDefault="00BF29B5" w:rsidP="00C44E14">
            <w:pPr>
              <w:spacing w:line="240" w:lineRule="auto"/>
              <w:rPr>
                <w:noProof/>
              </w:rPr>
            </w:pPr>
            <w:r>
              <w:rPr>
                <w:noProof/>
              </w:rPr>
              <w:t>2</w:t>
            </w:r>
          </w:p>
        </w:tc>
        <w:tc>
          <w:tcPr>
            <w:tcW w:w="12348" w:type="dxa"/>
            <w:gridSpan w:val="8"/>
          </w:tcPr>
          <w:p w:rsidR="00D2622A" w:rsidRPr="00732A25" w:rsidRDefault="00BF29B5" w:rsidP="00732A25">
            <w:pPr>
              <w:pStyle w:val="ListParagraph"/>
              <w:numPr>
                <w:ilvl w:val="0"/>
                <w:numId w:val="22"/>
              </w:numPr>
              <w:spacing w:line="240" w:lineRule="auto"/>
              <w:rPr>
                <w:b/>
              </w:rPr>
            </w:pPr>
            <w:r w:rsidRPr="00732A25">
              <w:rPr>
                <w:b/>
              </w:rPr>
              <w:t>Independent learning activity on unintentional torts</w:t>
            </w:r>
          </w:p>
        </w:tc>
      </w:tr>
      <w:tr w:rsidR="00BF29B5" w:rsidTr="00C44E14">
        <w:trPr>
          <w:trHeight w:val="359"/>
        </w:trPr>
        <w:tc>
          <w:tcPr>
            <w:tcW w:w="828" w:type="dxa"/>
          </w:tcPr>
          <w:p w:rsidR="00BF29B5" w:rsidRDefault="00DF340F" w:rsidP="00C44E14">
            <w:pPr>
              <w:spacing w:line="240" w:lineRule="auto"/>
              <w:rPr>
                <w:noProof/>
              </w:rPr>
            </w:pPr>
            <w:r>
              <w:rPr>
                <w:noProof/>
              </w:rPr>
              <w:t>3</w:t>
            </w:r>
          </w:p>
        </w:tc>
        <w:tc>
          <w:tcPr>
            <w:tcW w:w="12348" w:type="dxa"/>
            <w:gridSpan w:val="8"/>
          </w:tcPr>
          <w:p w:rsidR="00BF29B5" w:rsidRPr="00732A25" w:rsidRDefault="00DF340F" w:rsidP="00732A25">
            <w:pPr>
              <w:pStyle w:val="ListParagraph"/>
              <w:numPr>
                <w:ilvl w:val="0"/>
                <w:numId w:val="22"/>
              </w:numPr>
              <w:spacing w:line="240" w:lineRule="auto"/>
              <w:rPr>
                <w:b/>
              </w:rPr>
            </w:pPr>
            <w:r w:rsidRPr="00732A25">
              <w:rPr>
                <w:b/>
              </w:rPr>
              <w:t>Cooperative learning activity on Alternative Dispute Resolutions</w:t>
            </w:r>
          </w:p>
        </w:tc>
      </w:tr>
      <w:tr w:rsidR="00BF29B5" w:rsidTr="00C44E14">
        <w:trPr>
          <w:trHeight w:val="359"/>
        </w:trPr>
        <w:tc>
          <w:tcPr>
            <w:tcW w:w="828" w:type="dxa"/>
          </w:tcPr>
          <w:p w:rsidR="00BF29B5" w:rsidRDefault="00DF340F" w:rsidP="00C44E14">
            <w:pPr>
              <w:spacing w:line="240" w:lineRule="auto"/>
              <w:rPr>
                <w:noProof/>
              </w:rPr>
            </w:pPr>
            <w:r>
              <w:rPr>
                <w:noProof/>
              </w:rPr>
              <w:t>4</w:t>
            </w:r>
          </w:p>
        </w:tc>
        <w:tc>
          <w:tcPr>
            <w:tcW w:w="12348" w:type="dxa"/>
            <w:gridSpan w:val="8"/>
          </w:tcPr>
          <w:p w:rsidR="00BF29B5" w:rsidRPr="00732A25" w:rsidRDefault="00DF340F" w:rsidP="00732A25">
            <w:pPr>
              <w:pStyle w:val="ListParagraph"/>
              <w:numPr>
                <w:ilvl w:val="0"/>
                <w:numId w:val="22"/>
              </w:numPr>
              <w:spacing w:line="240" w:lineRule="auto"/>
              <w:rPr>
                <w:b/>
              </w:rPr>
            </w:pPr>
            <w:r w:rsidRPr="00732A25">
              <w:rPr>
                <w:b/>
              </w:rPr>
              <w:t>Independent learning activity on civil trials</w:t>
            </w:r>
            <w:r w:rsidR="00732A25">
              <w:rPr>
                <w:b/>
              </w:rPr>
              <w:t>; Handout on civil trials.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bookmarkStart w:id="0" w:name="_GoBack"/>
            <w:bookmarkEnd w:id="0"/>
          </w:p>
        </w:tc>
      </w:tr>
      <w:tr w:rsidR="003A7E69" w:rsidTr="00C44E14">
        <w:trPr>
          <w:trHeight w:val="466"/>
        </w:trPr>
        <w:tc>
          <w:tcPr>
            <w:tcW w:w="828" w:type="dxa"/>
          </w:tcPr>
          <w:p w:rsidR="003A7E69" w:rsidRPr="009505D0" w:rsidRDefault="00A11965" w:rsidP="00C44E14">
            <w:pPr>
              <w:spacing w:line="240" w:lineRule="auto"/>
              <w:rPr>
                <w:noProof/>
              </w:rPr>
            </w:pPr>
            <w:r>
              <w:rPr>
                <w:noProof/>
              </w:rPr>
              <w:t>1</w:t>
            </w:r>
          </w:p>
        </w:tc>
        <w:tc>
          <w:tcPr>
            <w:tcW w:w="12348" w:type="dxa"/>
            <w:gridSpan w:val="8"/>
          </w:tcPr>
          <w:p w:rsidR="003A7E69" w:rsidRPr="00732A25" w:rsidRDefault="00AC426A" w:rsidP="00732A25">
            <w:pPr>
              <w:pStyle w:val="ListParagraph"/>
              <w:numPr>
                <w:ilvl w:val="0"/>
                <w:numId w:val="21"/>
              </w:numPr>
              <w:spacing w:line="240" w:lineRule="auto"/>
              <w:rPr>
                <w:b/>
              </w:rPr>
            </w:pPr>
            <w:hyperlink r:id="rId15" w:history="1">
              <w:r w:rsidR="00A11965" w:rsidRPr="00732A25">
                <w:rPr>
                  <w:rStyle w:val="Hyperlink"/>
                  <w:b/>
                </w:rPr>
                <w:t>Crime and Tort Scrapbook</w:t>
              </w:r>
            </w:hyperlink>
          </w:p>
        </w:tc>
      </w:tr>
      <w:tr w:rsidR="003A7E69" w:rsidTr="00C44E14">
        <w:trPr>
          <w:trHeight w:val="466"/>
        </w:trPr>
        <w:tc>
          <w:tcPr>
            <w:tcW w:w="828" w:type="dxa"/>
          </w:tcPr>
          <w:p w:rsidR="003A7E69" w:rsidRPr="009505D0" w:rsidRDefault="00A11965" w:rsidP="00C44E14">
            <w:pPr>
              <w:spacing w:line="240" w:lineRule="auto"/>
              <w:rPr>
                <w:noProof/>
              </w:rPr>
            </w:pPr>
            <w:r>
              <w:rPr>
                <w:noProof/>
              </w:rPr>
              <w:t>2</w:t>
            </w:r>
          </w:p>
        </w:tc>
        <w:tc>
          <w:tcPr>
            <w:tcW w:w="12348" w:type="dxa"/>
            <w:gridSpan w:val="8"/>
          </w:tcPr>
          <w:p w:rsidR="003A7E69" w:rsidRPr="00732A25" w:rsidRDefault="00AC426A" w:rsidP="00732A25">
            <w:pPr>
              <w:pStyle w:val="ListParagraph"/>
              <w:numPr>
                <w:ilvl w:val="0"/>
                <w:numId w:val="21"/>
              </w:numPr>
              <w:spacing w:line="240" w:lineRule="auto"/>
              <w:rPr>
                <w:b/>
              </w:rPr>
            </w:pPr>
            <w:hyperlink r:id="rId16" w:history="1">
              <w:r w:rsidR="00A11965" w:rsidRPr="00732A25">
                <w:rPr>
                  <w:rStyle w:val="Hyperlink"/>
                  <w:b/>
                </w:rPr>
                <w:t>Intentional Tort Scrapbook</w:t>
              </w:r>
            </w:hyperlink>
          </w:p>
        </w:tc>
      </w:tr>
      <w:tr w:rsidR="003A7E69" w:rsidTr="00C44E14">
        <w:trPr>
          <w:trHeight w:val="466"/>
        </w:trPr>
        <w:tc>
          <w:tcPr>
            <w:tcW w:w="828" w:type="dxa"/>
          </w:tcPr>
          <w:p w:rsidR="003A7E69" w:rsidRPr="009505D0" w:rsidRDefault="00B21160" w:rsidP="00C44E14">
            <w:pPr>
              <w:spacing w:line="240" w:lineRule="auto"/>
              <w:rPr>
                <w:noProof/>
              </w:rPr>
            </w:pPr>
            <w:r>
              <w:rPr>
                <w:noProof/>
              </w:rPr>
              <w:t>2</w:t>
            </w:r>
          </w:p>
        </w:tc>
        <w:tc>
          <w:tcPr>
            <w:tcW w:w="12348" w:type="dxa"/>
            <w:gridSpan w:val="8"/>
          </w:tcPr>
          <w:p w:rsidR="003A7E69" w:rsidRPr="00732A25" w:rsidRDefault="00AC426A" w:rsidP="00732A25">
            <w:pPr>
              <w:pStyle w:val="ListParagraph"/>
              <w:numPr>
                <w:ilvl w:val="0"/>
                <w:numId w:val="21"/>
              </w:numPr>
              <w:spacing w:line="240" w:lineRule="auto"/>
              <w:rPr>
                <w:b/>
              </w:rPr>
            </w:pPr>
            <w:hyperlink r:id="rId17" w:history="1">
              <w:r w:rsidR="00B21160" w:rsidRPr="00732A25">
                <w:rPr>
                  <w:rStyle w:val="Hyperlink"/>
                  <w:b/>
                </w:rPr>
                <w:t>Unintentional Tort Scenarios</w:t>
              </w:r>
            </w:hyperlink>
          </w:p>
        </w:tc>
      </w:tr>
      <w:tr w:rsidR="00BF29B5" w:rsidTr="00C44E14">
        <w:trPr>
          <w:trHeight w:val="466"/>
        </w:trPr>
        <w:tc>
          <w:tcPr>
            <w:tcW w:w="828" w:type="dxa"/>
          </w:tcPr>
          <w:p w:rsidR="00BF29B5" w:rsidRDefault="00BF29B5" w:rsidP="00C44E14">
            <w:pPr>
              <w:spacing w:line="240" w:lineRule="auto"/>
              <w:rPr>
                <w:noProof/>
              </w:rPr>
            </w:pPr>
            <w:r>
              <w:rPr>
                <w:noProof/>
              </w:rPr>
              <w:t>3</w:t>
            </w:r>
          </w:p>
        </w:tc>
        <w:tc>
          <w:tcPr>
            <w:tcW w:w="12348" w:type="dxa"/>
            <w:gridSpan w:val="8"/>
          </w:tcPr>
          <w:p w:rsidR="00BF29B5" w:rsidRPr="00732A25" w:rsidRDefault="00AC426A" w:rsidP="00732A25">
            <w:pPr>
              <w:pStyle w:val="ListParagraph"/>
              <w:numPr>
                <w:ilvl w:val="0"/>
                <w:numId w:val="21"/>
              </w:numPr>
              <w:spacing w:line="240" w:lineRule="auto"/>
              <w:rPr>
                <w:b/>
              </w:rPr>
            </w:pPr>
            <w:hyperlink r:id="rId18" w:history="1">
              <w:r w:rsidR="00BF29B5" w:rsidRPr="00732A25">
                <w:rPr>
                  <w:rStyle w:val="Hyperlink"/>
                  <w:b/>
                </w:rPr>
                <w:t>ADR (Alternative Dispute Resolution) Assignment</w:t>
              </w:r>
            </w:hyperlink>
          </w:p>
        </w:tc>
      </w:tr>
      <w:tr w:rsidR="00BF29B5" w:rsidTr="00C44E14">
        <w:trPr>
          <w:trHeight w:val="466"/>
        </w:trPr>
        <w:tc>
          <w:tcPr>
            <w:tcW w:w="828" w:type="dxa"/>
          </w:tcPr>
          <w:p w:rsidR="00BF29B5" w:rsidRDefault="00DF340F" w:rsidP="00C44E14">
            <w:pPr>
              <w:spacing w:line="240" w:lineRule="auto"/>
              <w:rPr>
                <w:noProof/>
              </w:rPr>
            </w:pPr>
            <w:r>
              <w:rPr>
                <w:noProof/>
              </w:rPr>
              <w:t>4</w:t>
            </w:r>
          </w:p>
        </w:tc>
        <w:tc>
          <w:tcPr>
            <w:tcW w:w="12348" w:type="dxa"/>
            <w:gridSpan w:val="8"/>
          </w:tcPr>
          <w:p w:rsidR="00BF29B5" w:rsidRPr="00732A25" w:rsidRDefault="00AC426A" w:rsidP="00732A25">
            <w:pPr>
              <w:pStyle w:val="ListParagraph"/>
              <w:numPr>
                <w:ilvl w:val="0"/>
                <w:numId w:val="21"/>
              </w:numPr>
              <w:spacing w:line="240" w:lineRule="auto"/>
              <w:rPr>
                <w:b/>
              </w:rPr>
            </w:pPr>
            <w:hyperlink r:id="rId19" w:history="1">
              <w:r w:rsidR="00DF340F" w:rsidRPr="00732A25">
                <w:rPr>
                  <w:rStyle w:val="Hyperlink"/>
                  <w:b/>
                </w:rPr>
                <w:t>Civil Trial Story</w:t>
              </w:r>
            </w:hyperlink>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AC426A" w:rsidP="00BC4316">
            <w:pPr>
              <w:spacing w:line="240" w:lineRule="auto"/>
              <w:rPr>
                <w:b/>
              </w:rPr>
            </w:pPr>
            <w:hyperlink r:id="rId20" w:history="1">
              <w:r w:rsidR="001C225C" w:rsidRPr="001465D0">
                <w:rPr>
                  <w:rStyle w:val="Hyperlink"/>
                  <w:b/>
                </w:rPr>
                <w:t>www.mcce.org</w:t>
              </w:r>
            </w:hyperlink>
            <w:r w:rsidR="001C225C">
              <w:rPr>
                <w:b/>
              </w:rPr>
              <w:t xml:space="preserve"> – Resources @ MCCE website:</w:t>
            </w:r>
          </w:p>
          <w:p w:rsidR="00254A97" w:rsidRDefault="00254A97" w:rsidP="00254A97">
            <w:pPr>
              <w:pStyle w:val="Heading1"/>
              <w:spacing w:before="0"/>
              <w:rPr>
                <w:rFonts w:asciiTheme="minorHAnsi" w:hAnsiTheme="minorHAnsi" w:cstheme="minorHAnsi"/>
                <w:color w:val="auto"/>
                <w:sz w:val="22"/>
                <w:szCs w:val="22"/>
              </w:rPr>
            </w:pPr>
            <w:r w:rsidRPr="00254A97">
              <w:rPr>
                <w:rFonts w:asciiTheme="minorHAnsi" w:hAnsiTheme="minorHAnsi" w:cstheme="minorHAnsi"/>
                <w:color w:val="auto"/>
                <w:sz w:val="22"/>
                <w:szCs w:val="22"/>
              </w:rPr>
              <w:t>BE VIDEO 174</w:t>
            </w:r>
            <w:r>
              <w:rPr>
                <w:rFonts w:asciiTheme="minorHAnsi" w:hAnsiTheme="minorHAnsi" w:cstheme="minorHAnsi"/>
                <w:color w:val="auto"/>
                <w:sz w:val="22"/>
                <w:szCs w:val="22"/>
              </w:rPr>
              <w:t xml:space="preserve"> - </w:t>
            </w:r>
            <w:r w:rsidR="001C225C" w:rsidRPr="00254A97">
              <w:rPr>
                <w:rFonts w:asciiTheme="minorHAnsi" w:hAnsiTheme="minorHAnsi" w:cstheme="minorHAnsi"/>
                <w:color w:val="auto"/>
                <w:sz w:val="22"/>
                <w:szCs w:val="22"/>
              </w:rPr>
              <w:t>Business Law, Torts</w:t>
            </w:r>
          </w:p>
          <w:p w:rsidR="001C225C" w:rsidRPr="00254A97" w:rsidRDefault="001C225C" w:rsidP="00254A97">
            <w:pPr>
              <w:pStyle w:val="Heading1"/>
              <w:spacing w:before="0"/>
              <w:rPr>
                <w:rFonts w:asciiTheme="minorHAnsi" w:hAnsiTheme="minorHAnsi" w:cstheme="minorHAnsi"/>
                <w:color w:val="auto"/>
                <w:sz w:val="22"/>
                <w:szCs w:val="22"/>
              </w:rPr>
            </w:pPr>
            <w:r w:rsidRPr="00254A97">
              <w:rPr>
                <w:rStyle w:val="info"/>
                <w:rFonts w:asciiTheme="minorHAnsi" w:hAnsiTheme="minorHAnsi" w:cstheme="minorHAnsi"/>
                <w:color w:val="auto"/>
                <w:sz w:val="22"/>
                <w:szCs w:val="22"/>
              </w:rPr>
              <w:t>Cerebellum Corporation</w:t>
            </w:r>
            <w:r w:rsidRPr="00254A97">
              <w:rPr>
                <w:rFonts w:asciiTheme="minorHAnsi" w:hAnsiTheme="minorHAnsi" w:cstheme="minorHAnsi"/>
                <w:color w:val="auto"/>
                <w:sz w:val="22"/>
                <w:szCs w:val="22"/>
              </w:rPr>
              <w:br/>
            </w:r>
            <w:r w:rsidRPr="00254A97">
              <w:rPr>
                <w:rStyle w:val="info"/>
                <w:rFonts w:asciiTheme="minorHAnsi" w:hAnsiTheme="minorHAnsi" w:cstheme="minorHAnsi"/>
                <w:color w:val="auto"/>
                <w:sz w:val="22"/>
                <w:szCs w:val="22"/>
              </w:rPr>
              <w:t>FALLS CHURCH, VA, CEREBELLUM CORPORATION, 2002.</w:t>
            </w:r>
            <w:r w:rsidRPr="00254A97">
              <w:rPr>
                <w:rFonts w:asciiTheme="minorHAnsi" w:hAnsiTheme="minorHAnsi" w:cstheme="minorHAnsi"/>
                <w:color w:val="auto"/>
                <w:sz w:val="22"/>
                <w:szCs w:val="22"/>
              </w:rPr>
              <w:br/>
              <w:t>VIDEO — Tort time! What's a tort? Well, we'll give you a hint - a tort is a wrong one person does to another. That means assault and battery, theft, defamation, and other forms of dastardly behavior. 26 minutes.</w:t>
            </w:r>
          </w:p>
          <w:p w:rsidR="001C225C" w:rsidRPr="00C44E14" w:rsidRDefault="001C225C" w:rsidP="00BC4316">
            <w:pPr>
              <w:spacing w:line="240" w:lineRule="auto"/>
              <w:rPr>
                <w:b/>
              </w:rPr>
            </w:pP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1"/>
      <w:footerReference w:type="default" r:id="rId22"/>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0F" w:rsidRDefault="00DF340F" w:rsidP="00FD5A4D">
      <w:pPr>
        <w:spacing w:after="0" w:line="240" w:lineRule="auto"/>
      </w:pPr>
      <w:r>
        <w:separator/>
      </w:r>
    </w:p>
  </w:endnote>
  <w:endnote w:type="continuationSeparator" w:id="0">
    <w:p w:rsidR="00DF340F" w:rsidRDefault="00DF340F" w:rsidP="00FD5A4D">
      <w:pPr>
        <w:spacing w:after="0" w:line="240" w:lineRule="auto"/>
      </w:pPr>
      <w:r>
        <w:continuationSeparator/>
      </w:r>
    </w:p>
  </w:endnote>
  <w:endnote w:type="continuationNotice" w:id="1">
    <w:p w:rsidR="00DF340F" w:rsidRDefault="00DF3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0F" w:rsidRDefault="00DF340F"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AC426A">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C426A">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0F" w:rsidRDefault="00DF340F" w:rsidP="00FD5A4D">
      <w:pPr>
        <w:spacing w:after="0" w:line="240" w:lineRule="auto"/>
      </w:pPr>
      <w:r>
        <w:separator/>
      </w:r>
    </w:p>
  </w:footnote>
  <w:footnote w:type="continuationSeparator" w:id="0">
    <w:p w:rsidR="00DF340F" w:rsidRDefault="00DF340F" w:rsidP="00FD5A4D">
      <w:pPr>
        <w:spacing w:after="0" w:line="240" w:lineRule="auto"/>
      </w:pPr>
      <w:r>
        <w:continuationSeparator/>
      </w:r>
    </w:p>
  </w:footnote>
  <w:footnote w:type="continuationNotice" w:id="1">
    <w:p w:rsidR="00DF340F" w:rsidRDefault="00DF34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0F" w:rsidRPr="006D3450" w:rsidRDefault="00DF340F" w:rsidP="00FD5A4D">
    <w:pPr>
      <w:pStyle w:val="Header"/>
      <w:jc w:val="center"/>
      <w:rPr>
        <w:b/>
        <w:sz w:val="24"/>
        <w:szCs w:val="24"/>
      </w:rPr>
    </w:pPr>
    <w:r>
      <w:rPr>
        <w:b/>
        <w:sz w:val="24"/>
        <w:szCs w:val="24"/>
      </w:rPr>
      <w:t xml:space="preserve"> DESE Model Curriculum </w:t>
    </w:r>
  </w:p>
  <w:p w:rsidR="00DF340F" w:rsidRDefault="00DF340F" w:rsidP="0015225E">
    <w:pPr>
      <w:pStyle w:val="Header"/>
    </w:pPr>
    <w:r>
      <w:t>GRADE LEVEL/UNIT TITLE: 11-12/Explore Tort Law</w:t>
    </w:r>
    <w:r>
      <w:tab/>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70F5"/>
    <w:multiLevelType w:val="hybridMultilevel"/>
    <w:tmpl w:val="5ED8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983335"/>
    <w:multiLevelType w:val="hybridMultilevel"/>
    <w:tmpl w:val="7E6C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134BB"/>
    <w:multiLevelType w:val="hybridMultilevel"/>
    <w:tmpl w:val="BE12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A1F32"/>
    <w:multiLevelType w:val="hybridMultilevel"/>
    <w:tmpl w:val="CEDEB3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6"/>
  </w:num>
  <w:num w:numId="5">
    <w:abstractNumId w:val="15"/>
  </w:num>
  <w:num w:numId="6">
    <w:abstractNumId w:val="4"/>
  </w:num>
  <w:num w:numId="7">
    <w:abstractNumId w:val="9"/>
  </w:num>
  <w:num w:numId="8">
    <w:abstractNumId w:val="20"/>
  </w:num>
  <w:num w:numId="9">
    <w:abstractNumId w:val="3"/>
  </w:num>
  <w:num w:numId="10">
    <w:abstractNumId w:val="2"/>
  </w:num>
  <w:num w:numId="11">
    <w:abstractNumId w:val="19"/>
  </w:num>
  <w:num w:numId="12">
    <w:abstractNumId w:val="8"/>
  </w:num>
  <w:num w:numId="13">
    <w:abstractNumId w:val="5"/>
  </w:num>
  <w:num w:numId="14">
    <w:abstractNumId w:val="17"/>
  </w:num>
  <w:num w:numId="15">
    <w:abstractNumId w:val="16"/>
  </w:num>
  <w:num w:numId="16">
    <w:abstractNumId w:val="13"/>
  </w:num>
  <w:num w:numId="17">
    <w:abstractNumId w:val="14"/>
  </w:num>
  <w:num w:numId="18">
    <w:abstractNumId w:val="12"/>
  </w:num>
  <w:num w:numId="19">
    <w:abstractNumId w:val="1"/>
  </w:num>
  <w:num w:numId="20">
    <w:abstractNumId w:val="11"/>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B1672"/>
    <w:rsid w:val="001B3773"/>
    <w:rsid w:val="001C225C"/>
    <w:rsid w:val="001C64E7"/>
    <w:rsid w:val="0020289B"/>
    <w:rsid w:val="00223F54"/>
    <w:rsid w:val="002316F3"/>
    <w:rsid w:val="00233170"/>
    <w:rsid w:val="00254338"/>
    <w:rsid w:val="00254A97"/>
    <w:rsid w:val="00286FAE"/>
    <w:rsid w:val="002C16F9"/>
    <w:rsid w:val="00321BC1"/>
    <w:rsid w:val="00323492"/>
    <w:rsid w:val="00323BA3"/>
    <w:rsid w:val="00342621"/>
    <w:rsid w:val="003512B9"/>
    <w:rsid w:val="00353AA8"/>
    <w:rsid w:val="00355765"/>
    <w:rsid w:val="00357947"/>
    <w:rsid w:val="00366003"/>
    <w:rsid w:val="00391632"/>
    <w:rsid w:val="003A7E69"/>
    <w:rsid w:val="003B76EF"/>
    <w:rsid w:val="003F192D"/>
    <w:rsid w:val="003F1F66"/>
    <w:rsid w:val="004633F6"/>
    <w:rsid w:val="00467E84"/>
    <w:rsid w:val="004871C5"/>
    <w:rsid w:val="004C7286"/>
    <w:rsid w:val="004D1737"/>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2A25"/>
    <w:rsid w:val="0073478C"/>
    <w:rsid w:val="00745103"/>
    <w:rsid w:val="00751B9E"/>
    <w:rsid w:val="00787783"/>
    <w:rsid w:val="007900B4"/>
    <w:rsid w:val="007A4E95"/>
    <w:rsid w:val="0080447A"/>
    <w:rsid w:val="008057B5"/>
    <w:rsid w:val="008322A8"/>
    <w:rsid w:val="00845D03"/>
    <w:rsid w:val="0086478D"/>
    <w:rsid w:val="0089420F"/>
    <w:rsid w:val="008B1BC2"/>
    <w:rsid w:val="008B5FD1"/>
    <w:rsid w:val="008B69A1"/>
    <w:rsid w:val="008D6425"/>
    <w:rsid w:val="008E66A3"/>
    <w:rsid w:val="00917334"/>
    <w:rsid w:val="0094250B"/>
    <w:rsid w:val="009505D0"/>
    <w:rsid w:val="009C2B9E"/>
    <w:rsid w:val="00A11965"/>
    <w:rsid w:val="00A22AA4"/>
    <w:rsid w:val="00A33DF8"/>
    <w:rsid w:val="00A5553E"/>
    <w:rsid w:val="00AC243F"/>
    <w:rsid w:val="00AC426A"/>
    <w:rsid w:val="00B05A7F"/>
    <w:rsid w:val="00B13A4E"/>
    <w:rsid w:val="00B21160"/>
    <w:rsid w:val="00B25E50"/>
    <w:rsid w:val="00BB21C0"/>
    <w:rsid w:val="00BB7AD7"/>
    <w:rsid w:val="00BC09A6"/>
    <w:rsid w:val="00BC4316"/>
    <w:rsid w:val="00BF29B5"/>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DF340F"/>
    <w:rsid w:val="00E215AA"/>
    <w:rsid w:val="00E277D1"/>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next w:val="Normal"/>
    <w:link w:val="Heading1Char"/>
    <w:uiPriority w:val="9"/>
    <w:qFormat/>
    <w:rsid w:val="00254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C225C"/>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89420F"/>
    <w:rPr>
      <w:color w:val="0000FF"/>
      <w:u w:val="single"/>
    </w:rPr>
  </w:style>
  <w:style w:type="character" w:customStyle="1" w:styleId="Heading2Char">
    <w:name w:val="Heading 2 Char"/>
    <w:basedOn w:val="DefaultParagraphFont"/>
    <w:link w:val="Heading2"/>
    <w:uiPriority w:val="9"/>
    <w:rsid w:val="001C225C"/>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1C225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1C225C"/>
  </w:style>
  <w:style w:type="character" w:customStyle="1" w:styleId="Heading1Char">
    <w:name w:val="Heading 1 Char"/>
    <w:basedOn w:val="DefaultParagraphFont"/>
    <w:link w:val="Heading1"/>
    <w:uiPriority w:val="9"/>
    <w:rsid w:val="00254A9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42035">
      <w:bodyDiv w:val="1"/>
      <w:marLeft w:val="0"/>
      <w:marRight w:val="0"/>
      <w:marTop w:val="0"/>
      <w:marBottom w:val="0"/>
      <w:divBdr>
        <w:top w:val="none" w:sz="0" w:space="0" w:color="auto"/>
        <w:left w:val="none" w:sz="0" w:space="0" w:color="auto"/>
        <w:bottom w:val="none" w:sz="0" w:space="0" w:color="auto"/>
        <w:right w:val="none" w:sz="0" w:space="0" w:color="auto"/>
      </w:divBdr>
      <w:divsChild>
        <w:div w:id="230316905">
          <w:marLeft w:val="0"/>
          <w:marRight w:val="0"/>
          <w:marTop w:val="0"/>
          <w:marBottom w:val="0"/>
          <w:divBdr>
            <w:top w:val="none" w:sz="0" w:space="0" w:color="auto"/>
            <w:left w:val="none" w:sz="0" w:space="0" w:color="auto"/>
            <w:bottom w:val="none" w:sz="0" w:space="0" w:color="auto"/>
            <w:right w:val="none" w:sz="0" w:space="0" w:color="auto"/>
          </w:divBdr>
          <w:divsChild>
            <w:div w:id="713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ucmo\data\mcce\Curriculum%20-%20Business\Business%20Law\BL%20Unit%204\Assessment%202%20Tort%20Law.docx" TargetMode="External"/><Relationship Id="rId18" Type="http://schemas.openxmlformats.org/officeDocument/2006/relationships/hyperlink" Target="file:///\\ucmo\data\mcce\Curriculum%20-%20Business\Business%20Law\BL%20Unit%204\ADR%20Assignment.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file:///\\ucmo\data\mcce\Curriculum%20-%20Business\Business%20Law\BL%20Unit%204\Assessment%201%20Tort%20Law.doc" TargetMode="External"/><Relationship Id="rId17" Type="http://schemas.openxmlformats.org/officeDocument/2006/relationships/hyperlink" Target="file:///\\ucmo\data\mcce\Curriculum%20-%20Business\Business%20Law\BL%20Unit%204\Unintentional%20Tort%20Scenarios.docx" TargetMode="External"/><Relationship Id="rId2" Type="http://schemas.openxmlformats.org/officeDocument/2006/relationships/customXml" Target="../customXml/item2.xml"/><Relationship Id="rId16" Type="http://schemas.openxmlformats.org/officeDocument/2006/relationships/hyperlink" Target="file:///\\ucmo\data\mcce\Curriculum%20-%20Business\Business%20Law\BL%20Unit%204\Intentional%20Tort%20Scrapbook.docx" TargetMode="External"/><Relationship Id="rId20" Type="http://schemas.openxmlformats.org/officeDocument/2006/relationships/hyperlink" Target="http://www.mc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ucmo\data\mcce\Curriculum%20-%20Business\Business%20Law\BL%20Unit%204\crime_and_tort_scrapbook%5b1%5d.do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ivil%20Trial%20Stor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cmo\data\mcce\Curriculum%20-%20Business\Business%20Law\BL%20Unit%204\Assessment%203%20Tort%20Law.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EAFEE3-3115-4B56-BAF1-03A218EE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2012-07-13T14:01:00Z</cp:lastPrinted>
  <dcterms:created xsi:type="dcterms:W3CDTF">2012-06-25T20:15:00Z</dcterms:created>
  <dcterms:modified xsi:type="dcterms:W3CDTF">2012-07-13T14:01:00Z</dcterms:modified>
</cp:coreProperties>
</file>