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DF" w:rsidRDefault="00497DDF" w:rsidP="00497D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C24337">
        <w:rPr>
          <w:rFonts w:ascii="Times New Roman" w:hAnsi="Times New Roman" w:cs="Times New Roman"/>
          <w:b/>
          <w:bCs/>
          <w:color w:val="000000"/>
          <w:sz w:val="26"/>
          <w:szCs w:val="26"/>
        </w:rPr>
        <w:t>Wills and Estate Planning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497DDF" w:rsidRDefault="00497DDF" w:rsidP="00497D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497DDF" w:rsidRP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469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462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VIB3b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468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XA3c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468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XA3e | NBEA XA3f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466</w:t>
      </w:r>
    </w:p>
    <w:p w:rsidR="00497DDF" w:rsidRP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471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471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XB3c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471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XB3a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468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XA3e | NBEA XA3f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468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XA3d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459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VIB3a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466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467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469</w:t>
      </w:r>
    </w:p>
    <w:p w:rsidR="00497DDF" w:rsidRDefault="00497DDF" w:rsidP="00497DD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NBEA XA3f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470</w:t>
      </w:r>
    </w:p>
    <w:p w:rsidR="00497DDF" w:rsidRP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MATCHING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NBEA XA3a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H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NBEA VIB3c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I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G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NBEA VIB3a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J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497DDF" w:rsidRDefault="00497DDF" w:rsidP="00497DD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97DDF" w:rsidRDefault="00497DDF" w:rsidP="00497DD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812FBB" w:rsidRPr="00497DDF" w:rsidRDefault="00497DDF" w:rsidP="00497DD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Answers may vary, But include what a person wishes should they become incapacitated. People with family history of early death or terminal illness, may want to set up a living will.</w:t>
      </w:r>
    </w:p>
    <w:sectPr w:rsidR="00812FBB" w:rsidRPr="00497DDF" w:rsidSect="00497DD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7DDF"/>
    <w:rsid w:val="00300E13"/>
    <w:rsid w:val="00497DDF"/>
    <w:rsid w:val="00812FBB"/>
    <w:rsid w:val="00B52247"/>
    <w:rsid w:val="00C2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D46A20-3820-49F2-A2E6-87D06393D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CB509-9BB7-4BD8-BF0A-FF336B59B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D1C8D1-1905-4AE2-9D40-5369CBA7A365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dcterms:created xsi:type="dcterms:W3CDTF">2012-06-29T19:22:00Z</dcterms:created>
  <dcterms:modified xsi:type="dcterms:W3CDTF">2012-06-29T19:22:00Z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