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FB4063" w:rsidRDefault="00FB4063" w:rsidP="00FB4063">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FB4063" w:rsidRDefault="00FB4063" w:rsidP="00FB4063">
            <w:pPr>
              <w:spacing w:after="0"/>
            </w:pPr>
          </w:p>
          <w:p w:rsidR="00FB4063" w:rsidRDefault="00FB4063" w:rsidP="00FB4063">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28"/>
        <w:gridCol w:w="2608"/>
        <w:gridCol w:w="208"/>
        <w:gridCol w:w="1144"/>
        <w:gridCol w:w="698"/>
        <w:gridCol w:w="1380"/>
        <w:gridCol w:w="1369"/>
        <w:gridCol w:w="813"/>
      </w:tblGrid>
      <w:tr w:rsidR="00DD40DF" w:rsidRPr="00DD40DF" w:rsidTr="00FB4063">
        <w:tc>
          <w:tcPr>
            <w:tcW w:w="756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FB4063" w:rsidRDefault="00AA57D4" w:rsidP="00C44E14">
            <w:pPr>
              <w:spacing w:line="240" w:lineRule="auto"/>
            </w:pPr>
            <w:r>
              <w:t>Students will utilize the Internet as a valuable resource tool.</w:t>
            </w:r>
          </w:p>
        </w:tc>
        <w:tc>
          <w:tcPr>
            <w:tcW w:w="561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A57D4">
              <w:rPr>
                <w:b/>
              </w:rPr>
              <w:t>Ongoing</w:t>
            </w:r>
          </w:p>
          <w:p w:rsidR="00DD40DF" w:rsidRPr="00C44E14" w:rsidRDefault="00DD40DF" w:rsidP="00175491">
            <w:pPr>
              <w:spacing w:line="240" w:lineRule="auto"/>
              <w:rPr>
                <w:b/>
              </w:rPr>
            </w:pPr>
            <w:r w:rsidRPr="00C44E14">
              <w:rPr>
                <w:b/>
              </w:rPr>
              <w:t xml:space="preserve">CLASS PERIOD (min.): </w:t>
            </w:r>
            <w:r w:rsidR="005A0F5D">
              <w:rPr>
                <w:b/>
              </w:rPr>
              <w:t xml:space="preserve"> </w:t>
            </w:r>
            <w:r w:rsidR="00AA57D4">
              <w:rPr>
                <w:b/>
              </w:rPr>
              <w:t>50 min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AA57D4" w:rsidRDefault="00AA57D4" w:rsidP="00AA57D4">
            <w:pPr>
              <w:pStyle w:val="ListParagraph"/>
              <w:numPr>
                <w:ilvl w:val="0"/>
                <w:numId w:val="19"/>
              </w:numPr>
              <w:spacing w:after="0" w:line="240" w:lineRule="auto"/>
              <w:rPr>
                <w:b/>
              </w:rPr>
            </w:pPr>
            <w:r w:rsidRPr="00AA57D4">
              <w:rPr>
                <w:b/>
              </w:rPr>
              <w:t>How can the Internet be used effectively?</w:t>
            </w:r>
          </w:p>
          <w:p w:rsidR="00AA57D4" w:rsidRDefault="00AA57D4" w:rsidP="00AA57D4">
            <w:pPr>
              <w:pStyle w:val="ListParagraph"/>
              <w:numPr>
                <w:ilvl w:val="0"/>
                <w:numId w:val="19"/>
              </w:numPr>
              <w:spacing w:after="0" w:line="240" w:lineRule="auto"/>
              <w:rPr>
                <w:b/>
              </w:rPr>
            </w:pPr>
            <w:r>
              <w:rPr>
                <w:b/>
              </w:rPr>
              <w:t>How can the Internet be used as a tool?</w:t>
            </w:r>
          </w:p>
          <w:p w:rsidR="00DD40DF" w:rsidRDefault="00AA57D4" w:rsidP="00AA57D4">
            <w:pPr>
              <w:pStyle w:val="ListParagraph"/>
              <w:numPr>
                <w:ilvl w:val="0"/>
                <w:numId w:val="19"/>
              </w:numPr>
              <w:spacing w:after="0" w:line="240" w:lineRule="auto"/>
              <w:rPr>
                <w:b/>
              </w:rPr>
            </w:pPr>
            <w:r>
              <w:rPr>
                <w:b/>
              </w:rPr>
              <w:t>How would our culture be different without the Internet?</w:t>
            </w:r>
          </w:p>
          <w:p w:rsidR="00AA57D4" w:rsidRPr="00C44E14" w:rsidRDefault="00AA57D4" w:rsidP="00AA57D4">
            <w:pPr>
              <w:pStyle w:val="ListParagraph"/>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FB4063">
        <w:trPr>
          <w:trHeight w:val="467"/>
        </w:trPr>
        <w:tc>
          <w:tcPr>
            <w:tcW w:w="495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6"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04" w:type="dxa"/>
            <w:gridSpan w:val="5"/>
          </w:tcPr>
          <w:p w:rsidR="008322A8" w:rsidRPr="00C44E14" w:rsidRDefault="008322A8" w:rsidP="00C44E14">
            <w:pPr>
              <w:spacing w:line="240" w:lineRule="auto"/>
              <w:jc w:val="center"/>
              <w:rPr>
                <w:b/>
              </w:rPr>
            </w:pPr>
            <w:r w:rsidRPr="00C44E14">
              <w:rPr>
                <w:b/>
              </w:rPr>
              <w:t>CROSSWALK TO STANDARDS</w:t>
            </w:r>
          </w:p>
        </w:tc>
      </w:tr>
      <w:tr w:rsidR="00321BC1" w:rsidTr="00FB4063">
        <w:trPr>
          <w:trHeight w:val="466"/>
        </w:trPr>
        <w:tc>
          <w:tcPr>
            <w:tcW w:w="4956" w:type="dxa"/>
            <w:gridSpan w:val="2"/>
            <w:vMerge/>
          </w:tcPr>
          <w:p w:rsidR="00321BC1" w:rsidRPr="00C44E14" w:rsidRDefault="00321BC1" w:rsidP="00C44E14">
            <w:pPr>
              <w:spacing w:line="240" w:lineRule="auto"/>
              <w:jc w:val="center"/>
              <w:rPr>
                <w:b/>
              </w:rPr>
            </w:pPr>
          </w:p>
        </w:tc>
        <w:tc>
          <w:tcPr>
            <w:tcW w:w="2816"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8" w:type="dxa"/>
            <w:shd w:val="clear" w:color="auto" w:fill="auto"/>
          </w:tcPr>
          <w:p w:rsidR="00321BC1" w:rsidRPr="00C44E14" w:rsidRDefault="00321BC1" w:rsidP="00C44E14">
            <w:pPr>
              <w:spacing w:line="240" w:lineRule="auto"/>
              <w:jc w:val="center"/>
              <w:rPr>
                <w:b/>
              </w:rPr>
            </w:pPr>
            <w:r w:rsidRPr="00C44E14">
              <w:rPr>
                <w:b/>
              </w:rPr>
              <w:t>PS</w:t>
            </w:r>
          </w:p>
        </w:tc>
        <w:tc>
          <w:tcPr>
            <w:tcW w:w="1380" w:type="dxa"/>
          </w:tcPr>
          <w:p w:rsidR="00321BC1" w:rsidRPr="00C44E14" w:rsidRDefault="00321BC1" w:rsidP="00C44E14">
            <w:pPr>
              <w:spacing w:line="240" w:lineRule="auto"/>
              <w:jc w:val="center"/>
              <w:rPr>
                <w:b/>
              </w:rPr>
            </w:pPr>
            <w:r w:rsidRPr="00C44E14">
              <w:rPr>
                <w:b/>
              </w:rPr>
              <w:t>CCSS</w:t>
            </w:r>
          </w:p>
        </w:tc>
        <w:tc>
          <w:tcPr>
            <w:tcW w:w="1369" w:type="dxa"/>
          </w:tcPr>
          <w:p w:rsidR="003C7D48" w:rsidRPr="00C44E14" w:rsidRDefault="003C7D48" w:rsidP="003C7D48">
            <w:pPr>
              <w:spacing w:line="240" w:lineRule="auto"/>
              <w:jc w:val="center"/>
              <w:rPr>
                <w:b/>
              </w:rPr>
            </w:pPr>
            <w:r>
              <w:rPr>
                <w:b/>
              </w:rPr>
              <w:t>NBEA</w:t>
            </w:r>
          </w:p>
        </w:tc>
        <w:tc>
          <w:tcPr>
            <w:tcW w:w="813" w:type="dxa"/>
          </w:tcPr>
          <w:p w:rsidR="00321BC1" w:rsidRPr="00C44E14" w:rsidRDefault="00321BC1" w:rsidP="00C44E14">
            <w:pPr>
              <w:spacing w:line="240" w:lineRule="auto"/>
              <w:jc w:val="center"/>
              <w:rPr>
                <w:b/>
              </w:rPr>
            </w:pPr>
            <w:r w:rsidRPr="00C44E14">
              <w:rPr>
                <w:b/>
              </w:rPr>
              <w:t>DOK</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Demonstrate correct use of Internet terminology</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0E00AF" w:rsidRDefault="00FB4063" w:rsidP="003C7A2E">
            <w:pPr>
              <w:tabs>
                <w:tab w:val="left" w:pos="443"/>
              </w:tabs>
              <w:jc w:val="center"/>
              <w:rPr>
                <w:rFonts w:ascii="Cambria" w:hAnsi="Cambria"/>
                <w:sz w:val="20"/>
                <w:szCs w:val="20"/>
              </w:rPr>
            </w:pPr>
            <w:r>
              <w:rPr>
                <w:rFonts w:ascii="Cambria" w:hAnsi="Cambria"/>
                <w:sz w:val="20"/>
                <w:szCs w:val="20"/>
              </w:rPr>
              <w:t>RI.</w:t>
            </w:r>
            <w:r w:rsidR="00C4468A">
              <w:rPr>
                <w:rFonts w:ascii="Cambria" w:hAnsi="Cambria"/>
                <w:sz w:val="20"/>
                <w:szCs w:val="20"/>
              </w:rPr>
              <w:t>11-12.4</w:t>
            </w:r>
          </w:p>
        </w:tc>
        <w:tc>
          <w:tcPr>
            <w:tcW w:w="1369" w:type="dxa"/>
            <w:shd w:val="clear" w:color="auto" w:fill="auto"/>
          </w:tcPr>
          <w:p w:rsidR="00C4468A" w:rsidRPr="000E00AF" w:rsidRDefault="00C4468A" w:rsidP="00C4468A">
            <w:pPr>
              <w:spacing w:after="0"/>
              <w:jc w:val="center"/>
              <w:rPr>
                <w:rFonts w:ascii="Cambria" w:hAnsi="Cambria"/>
                <w:sz w:val="20"/>
                <w:szCs w:val="20"/>
              </w:rPr>
            </w:pPr>
            <w:r>
              <w:rPr>
                <w:rFonts w:ascii="Cambria" w:hAnsi="Cambria"/>
                <w:sz w:val="20"/>
                <w:szCs w:val="20"/>
              </w:rPr>
              <w:t>COMM.I.B.1.4</w:t>
            </w:r>
          </w:p>
        </w:tc>
        <w:tc>
          <w:tcPr>
            <w:tcW w:w="813" w:type="dxa"/>
            <w:shd w:val="clear" w:color="auto" w:fill="auto"/>
          </w:tcPr>
          <w:p w:rsidR="00C4468A" w:rsidRPr="003B76EF" w:rsidRDefault="00FB4063"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Demonstrate principal usages of online communication (e.g., upload, download, attaching files)</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0E00AF" w:rsidRDefault="00C4468A" w:rsidP="003C7A2E">
            <w:pPr>
              <w:tabs>
                <w:tab w:val="left" w:pos="443"/>
              </w:tabs>
              <w:jc w:val="center"/>
              <w:rPr>
                <w:rFonts w:ascii="Cambria" w:hAnsi="Cambria"/>
                <w:sz w:val="20"/>
                <w:szCs w:val="20"/>
              </w:rPr>
            </w:pPr>
          </w:p>
        </w:tc>
        <w:tc>
          <w:tcPr>
            <w:tcW w:w="1369" w:type="dxa"/>
            <w:shd w:val="clear" w:color="auto" w:fill="auto"/>
          </w:tcPr>
          <w:p w:rsidR="00C4468A" w:rsidRDefault="00C4468A" w:rsidP="00C4468A">
            <w:pPr>
              <w:spacing w:after="0"/>
              <w:jc w:val="center"/>
              <w:rPr>
                <w:rFonts w:ascii="Cambria" w:hAnsi="Cambria"/>
                <w:sz w:val="20"/>
                <w:szCs w:val="20"/>
              </w:rPr>
            </w:pPr>
            <w:r>
              <w:rPr>
                <w:rFonts w:ascii="Cambria" w:hAnsi="Cambria"/>
                <w:sz w:val="20"/>
                <w:szCs w:val="20"/>
              </w:rPr>
              <w:t>COMM.I.D.1.6</w:t>
            </w:r>
          </w:p>
          <w:p w:rsidR="00C4468A" w:rsidRPr="000E00AF" w:rsidRDefault="00C4468A" w:rsidP="00C4468A">
            <w:pPr>
              <w:spacing w:after="0"/>
              <w:jc w:val="center"/>
              <w:rPr>
                <w:rFonts w:ascii="Cambria" w:hAnsi="Cambria"/>
                <w:sz w:val="20"/>
                <w:szCs w:val="20"/>
              </w:rPr>
            </w:pPr>
            <w:r>
              <w:rPr>
                <w:rFonts w:ascii="Cambria" w:hAnsi="Cambria"/>
                <w:sz w:val="20"/>
                <w:szCs w:val="20"/>
              </w:rPr>
              <w:t>COMM.IV.3.2</w:t>
            </w:r>
          </w:p>
        </w:tc>
        <w:tc>
          <w:tcPr>
            <w:tcW w:w="813" w:type="dxa"/>
            <w:shd w:val="clear" w:color="auto" w:fill="auto"/>
          </w:tcPr>
          <w:p w:rsidR="00C4468A" w:rsidRPr="003B76EF" w:rsidRDefault="00AA57D4"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Demonstrate principal usages of the Internet (e.g., search, locating URLs)</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0E00AF" w:rsidRDefault="00C4468A" w:rsidP="003C7A2E">
            <w:pPr>
              <w:tabs>
                <w:tab w:val="left" w:pos="443"/>
              </w:tabs>
              <w:jc w:val="center"/>
              <w:rPr>
                <w:rFonts w:ascii="Cambria" w:hAnsi="Cambria"/>
                <w:sz w:val="20"/>
                <w:szCs w:val="20"/>
              </w:rPr>
            </w:pPr>
          </w:p>
        </w:tc>
        <w:tc>
          <w:tcPr>
            <w:tcW w:w="1369" w:type="dxa"/>
            <w:shd w:val="clear" w:color="auto" w:fill="auto"/>
          </w:tcPr>
          <w:p w:rsidR="00C4468A" w:rsidRDefault="00C4468A" w:rsidP="00C4468A">
            <w:pPr>
              <w:spacing w:after="0"/>
              <w:jc w:val="center"/>
              <w:rPr>
                <w:rFonts w:ascii="Cambria" w:hAnsi="Cambria"/>
                <w:sz w:val="20"/>
                <w:szCs w:val="20"/>
              </w:rPr>
            </w:pPr>
            <w:r>
              <w:rPr>
                <w:rFonts w:ascii="Cambria" w:hAnsi="Cambria"/>
                <w:sz w:val="20"/>
                <w:szCs w:val="20"/>
              </w:rPr>
              <w:t>COMM.IV.4.1</w:t>
            </w:r>
          </w:p>
          <w:p w:rsidR="00C4468A" w:rsidRPr="000E00AF" w:rsidRDefault="00C4468A" w:rsidP="00C4468A">
            <w:pPr>
              <w:spacing w:after="0"/>
              <w:jc w:val="center"/>
              <w:rPr>
                <w:rFonts w:ascii="Cambria" w:hAnsi="Cambria"/>
                <w:sz w:val="20"/>
                <w:szCs w:val="20"/>
              </w:rPr>
            </w:pPr>
            <w:r>
              <w:rPr>
                <w:rFonts w:ascii="Cambria" w:hAnsi="Cambria"/>
                <w:sz w:val="20"/>
                <w:szCs w:val="20"/>
              </w:rPr>
              <w:t>IT.VIII.1.1</w:t>
            </w:r>
          </w:p>
        </w:tc>
        <w:tc>
          <w:tcPr>
            <w:tcW w:w="813" w:type="dxa"/>
            <w:shd w:val="clear" w:color="auto" w:fill="auto"/>
          </w:tcPr>
          <w:p w:rsidR="00C4468A" w:rsidRPr="003B76EF" w:rsidRDefault="00FB4063"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Identify copyright principles (e.g., public domain, copy protection, licensing)</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0E00AF" w:rsidRDefault="00FB4063" w:rsidP="003C7A2E">
            <w:pPr>
              <w:tabs>
                <w:tab w:val="left" w:pos="443"/>
              </w:tabs>
              <w:jc w:val="center"/>
              <w:rPr>
                <w:rFonts w:ascii="Cambria" w:hAnsi="Cambria"/>
                <w:sz w:val="20"/>
                <w:szCs w:val="20"/>
              </w:rPr>
            </w:pPr>
            <w:r>
              <w:rPr>
                <w:rFonts w:ascii="Cambria" w:hAnsi="Cambria"/>
                <w:sz w:val="20"/>
                <w:szCs w:val="20"/>
              </w:rPr>
              <w:t>W.</w:t>
            </w:r>
            <w:r w:rsidR="00C4468A">
              <w:rPr>
                <w:rFonts w:ascii="Cambria" w:hAnsi="Cambria"/>
                <w:sz w:val="20"/>
                <w:szCs w:val="20"/>
              </w:rPr>
              <w:t>11-12.8</w:t>
            </w:r>
          </w:p>
        </w:tc>
        <w:tc>
          <w:tcPr>
            <w:tcW w:w="1369" w:type="dxa"/>
            <w:shd w:val="clear" w:color="auto" w:fill="auto"/>
          </w:tcPr>
          <w:p w:rsidR="00C4468A" w:rsidRDefault="00C4468A" w:rsidP="00C4468A">
            <w:pPr>
              <w:spacing w:after="0"/>
              <w:jc w:val="center"/>
              <w:rPr>
                <w:rFonts w:ascii="Cambria" w:hAnsi="Cambria"/>
                <w:sz w:val="20"/>
                <w:szCs w:val="20"/>
              </w:rPr>
            </w:pPr>
            <w:r>
              <w:rPr>
                <w:rFonts w:ascii="Cambria" w:hAnsi="Cambria"/>
                <w:sz w:val="20"/>
                <w:szCs w:val="20"/>
              </w:rPr>
              <w:t>COMM.IV.3.9</w:t>
            </w:r>
          </w:p>
          <w:p w:rsidR="00C4468A" w:rsidRPr="000E00AF" w:rsidRDefault="00C4468A" w:rsidP="00C4468A">
            <w:pPr>
              <w:spacing w:after="0"/>
              <w:jc w:val="center"/>
              <w:rPr>
                <w:rFonts w:ascii="Cambria" w:hAnsi="Cambria"/>
                <w:sz w:val="20"/>
                <w:szCs w:val="20"/>
              </w:rPr>
            </w:pPr>
            <w:r>
              <w:rPr>
                <w:rFonts w:ascii="Cambria" w:hAnsi="Cambria"/>
                <w:sz w:val="20"/>
                <w:szCs w:val="20"/>
              </w:rPr>
              <w:t>BL.V.C.3.7</w:t>
            </w:r>
          </w:p>
        </w:tc>
        <w:tc>
          <w:tcPr>
            <w:tcW w:w="813" w:type="dxa"/>
            <w:shd w:val="clear" w:color="auto" w:fill="auto"/>
          </w:tcPr>
          <w:p w:rsidR="00C4468A" w:rsidRPr="003B76EF" w:rsidRDefault="00FB4063" w:rsidP="005A0F5D">
            <w:pPr>
              <w:spacing w:after="0" w:line="240" w:lineRule="auto"/>
              <w:jc w:val="center"/>
              <w:rPr>
                <w:b/>
              </w:rPr>
            </w:pPr>
            <w:r>
              <w:rPr>
                <w:b/>
              </w:rPr>
              <w:t>3</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Employ proper online etiquette</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DC5E54" w:rsidRDefault="00C4468A" w:rsidP="005A0F5D">
            <w:pPr>
              <w:spacing w:after="0" w:line="240" w:lineRule="auto"/>
              <w:rPr>
                <w:b/>
              </w:rPr>
            </w:pPr>
          </w:p>
        </w:tc>
        <w:tc>
          <w:tcPr>
            <w:tcW w:w="1369" w:type="dxa"/>
            <w:shd w:val="clear" w:color="auto" w:fill="auto"/>
          </w:tcPr>
          <w:p w:rsidR="00C4468A" w:rsidRDefault="00C4468A" w:rsidP="00C4468A">
            <w:pPr>
              <w:spacing w:after="0"/>
              <w:jc w:val="center"/>
              <w:rPr>
                <w:rFonts w:ascii="Cambria" w:hAnsi="Cambria"/>
                <w:sz w:val="20"/>
                <w:szCs w:val="20"/>
              </w:rPr>
            </w:pPr>
            <w:r>
              <w:rPr>
                <w:rFonts w:ascii="Cambria" w:hAnsi="Cambria"/>
                <w:sz w:val="20"/>
                <w:szCs w:val="20"/>
              </w:rPr>
              <w:t>COMM.IV.2.4</w:t>
            </w:r>
          </w:p>
          <w:p w:rsidR="00C4468A" w:rsidRPr="000E00AF" w:rsidRDefault="00C4468A" w:rsidP="00C4468A">
            <w:pPr>
              <w:spacing w:after="0"/>
              <w:jc w:val="center"/>
              <w:rPr>
                <w:rFonts w:ascii="Cambria" w:hAnsi="Cambria"/>
                <w:sz w:val="20"/>
                <w:szCs w:val="20"/>
              </w:rPr>
            </w:pPr>
            <w:r>
              <w:rPr>
                <w:rFonts w:ascii="Cambria" w:hAnsi="Cambria"/>
                <w:sz w:val="20"/>
                <w:szCs w:val="20"/>
              </w:rPr>
              <w:t>COMM.IV.2.7</w:t>
            </w:r>
          </w:p>
        </w:tc>
        <w:tc>
          <w:tcPr>
            <w:tcW w:w="813" w:type="dxa"/>
            <w:shd w:val="clear" w:color="auto" w:fill="auto"/>
          </w:tcPr>
          <w:p w:rsidR="00C4468A" w:rsidRPr="003B76EF" w:rsidRDefault="00FB4063"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Utilize browser tools (e.g., favorites, shortcuts, homepage, cookies, history)</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DC5E54" w:rsidRDefault="00C4468A" w:rsidP="005A0F5D">
            <w:pPr>
              <w:spacing w:after="0" w:line="240" w:lineRule="auto"/>
              <w:rPr>
                <w:b/>
              </w:rPr>
            </w:pPr>
          </w:p>
        </w:tc>
        <w:tc>
          <w:tcPr>
            <w:tcW w:w="1369" w:type="dxa"/>
            <w:shd w:val="clear" w:color="auto" w:fill="auto"/>
          </w:tcPr>
          <w:p w:rsidR="00C4468A" w:rsidRPr="000E00AF" w:rsidRDefault="00C4468A" w:rsidP="00C4468A">
            <w:pPr>
              <w:spacing w:after="0"/>
              <w:jc w:val="center"/>
              <w:rPr>
                <w:rFonts w:ascii="Cambria" w:hAnsi="Cambria"/>
                <w:sz w:val="20"/>
                <w:szCs w:val="20"/>
              </w:rPr>
            </w:pPr>
            <w:r>
              <w:rPr>
                <w:rFonts w:ascii="Cambria" w:hAnsi="Cambria"/>
                <w:sz w:val="20"/>
                <w:szCs w:val="20"/>
              </w:rPr>
              <w:t>COMM.IV.1.4</w:t>
            </w:r>
          </w:p>
        </w:tc>
        <w:tc>
          <w:tcPr>
            <w:tcW w:w="813" w:type="dxa"/>
            <w:shd w:val="clear" w:color="auto" w:fill="auto"/>
          </w:tcPr>
          <w:p w:rsidR="00C4468A" w:rsidRPr="003B76EF" w:rsidRDefault="00FB4063"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Utilize online productivity tools (e.g., cloud computing, Web 2.0, Google docs)</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DC5E54" w:rsidRDefault="00C4468A" w:rsidP="005A0F5D">
            <w:pPr>
              <w:spacing w:after="0" w:line="240" w:lineRule="auto"/>
              <w:rPr>
                <w:b/>
              </w:rPr>
            </w:pPr>
          </w:p>
        </w:tc>
        <w:tc>
          <w:tcPr>
            <w:tcW w:w="1369" w:type="dxa"/>
            <w:shd w:val="clear" w:color="auto" w:fill="auto"/>
          </w:tcPr>
          <w:p w:rsidR="00C4468A" w:rsidRPr="000E00AF" w:rsidRDefault="00C4468A" w:rsidP="00C4468A">
            <w:pPr>
              <w:spacing w:after="0"/>
              <w:jc w:val="center"/>
              <w:rPr>
                <w:rFonts w:ascii="Cambria" w:hAnsi="Cambria"/>
                <w:sz w:val="20"/>
                <w:szCs w:val="20"/>
              </w:rPr>
            </w:pPr>
            <w:r>
              <w:rPr>
                <w:rFonts w:ascii="Cambria" w:hAnsi="Cambria"/>
                <w:sz w:val="20"/>
                <w:szCs w:val="20"/>
              </w:rPr>
              <w:t>COMM.IV.4.1</w:t>
            </w:r>
          </w:p>
        </w:tc>
        <w:tc>
          <w:tcPr>
            <w:tcW w:w="813" w:type="dxa"/>
            <w:shd w:val="clear" w:color="auto" w:fill="auto"/>
          </w:tcPr>
          <w:p w:rsidR="00C4468A" w:rsidRPr="003B76EF" w:rsidRDefault="00FB4063" w:rsidP="005A0F5D">
            <w:pPr>
              <w:spacing w:after="0" w:line="240" w:lineRule="auto"/>
              <w:jc w:val="center"/>
              <w:rPr>
                <w:b/>
              </w:rPr>
            </w:pPr>
            <w:r>
              <w:rPr>
                <w:b/>
              </w:rPr>
              <w:t>2</w:t>
            </w:r>
          </w:p>
        </w:tc>
      </w:tr>
      <w:tr w:rsidR="00C4468A" w:rsidTr="00FB4063">
        <w:trPr>
          <w:trHeight w:val="466"/>
        </w:trPr>
        <w:tc>
          <w:tcPr>
            <w:tcW w:w="4956" w:type="dxa"/>
            <w:gridSpan w:val="2"/>
          </w:tcPr>
          <w:p w:rsidR="00C4468A" w:rsidRPr="005B1CCE" w:rsidRDefault="00C4468A" w:rsidP="00C4468A">
            <w:pPr>
              <w:numPr>
                <w:ilvl w:val="1"/>
                <w:numId w:val="18"/>
              </w:numPr>
              <w:tabs>
                <w:tab w:val="clear" w:pos="648"/>
                <w:tab w:val="left" w:pos="360"/>
              </w:tabs>
              <w:spacing w:after="0" w:line="240" w:lineRule="auto"/>
              <w:ind w:left="353"/>
              <w:rPr>
                <w:rFonts w:ascii="Cambria" w:hAnsi="Cambria"/>
                <w:sz w:val="20"/>
                <w:szCs w:val="20"/>
              </w:rPr>
            </w:pPr>
            <w:r w:rsidRPr="005B1CCE">
              <w:rPr>
                <w:rFonts w:ascii="Cambria" w:hAnsi="Cambria" w:cs="Calibri"/>
                <w:color w:val="000000"/>
                <w:sz w:val="20"/>
                <w:szCs w:val="20"/>
              </w:rPr>
              <w:t>Evaluate Internet resources</w:t>
            </w:r>
          </w:p>
        </w:tc>
        <w:tc>
          <w:tcPr>
            <w:tcW w:w="2816" w:type="dxa"/>
            <w:gridSpan w:val="2"/>
          </w:tcPr>
          <w:p w:rsidR="00C4468A" w:rsidRPr="00C44E14" w:rsidRDefault="00C4468A" w:rsidP="005A0F5D">
            <w:pPr>
              <w:spacing w:after="0" w:line="240" w:lineRule="auto"/>
              <w:rPr>
                <w:b/>
              </w:rPr>
            </w:pPr>
          </w:p>
        </w:tc>
        <w:tc>
          <w:tcPr>
            <w:tcW w:w="1144" w:type="dxa"/>
            <w:shd w:val="clear" w:color="auto" w:fill="auto"/>
          </w:tcPr>
          <w:p w:rsidR="00C4468A" w:rsidRPr="00C44E14" w:rsidRDefault="00C4468A" w:rsidP="005A0F5D">
            <w:pPr>
              <w:spacing w:after="0" w:line="240" w:lineRule="auto"/>
              <w:rPr>
                <w:b/>
              </w:rPr>
            </w:pPr>
          </w:p>
        </w:tc>
        <w:tc>
          <w:tcPr>
            <w:tcW w:w="698" w:type="dxa"/>
            <w:shd w:val="clear" w:color="auto" w:fill="auto"/>
          </w:tcPr>
          <w:p w:rsidR="00C4468A" w:rsidRPr="00C44E14" w:rsidRDefault="00C4468A" w:rsidP="005A0F5D">
            <w:pPr>
              <w:spacing w:after="0" w:line="240" w:lineRule="auto"/>
              <w:rPr>
                <w:b/>
              </w:rPr>
            </w:pPr>
          </w:p>
        </w:tc>
        <w:tc>
          <w:tcPr>
            <w:tcW w:w="1380" w:type="dxa"/>
            <w:shd w:val="clear" w:color="auto" w:fill="auto"/>
          </w:tcPr>
          <w:p w:rsidR="00C4468A" w:rsidRPr="002D3A14" w:rsidRDefault="00FB4063" w:rsidP="005A0F5D">
            <w:pPr>
              <w:spacing w:after="0" w:line="240" w:lineRule="auto"/>
              <w:rPr>
                <w:sz w:val="20"/>
                <w:szCs w:val="20"/>
              </w:rPr>
            </w:pPr>
            <w:r>
              <w:rPr>
                <w:sz w:val="20"/>
                <w:szCs w:val="20"/>
              </w:rPr>
              <w:t>RST.11-12.7</w:t>
            </w:r>
          </w:p>
        </w:tc>
        <w:tc>
          <w:tcPr>
            <w:tcW w:w="1369" w:type="dxa"/>
            <w:shd w:val="clear" w:color="auto" w:fill="auto"/>
          </w:tcPr>
          <w:p w:rsidR="00C4468A" w:rsidRPr="000E00AF" w:rsidRDefault="00C4468A" w:rsidP="00C4468A">
            <w:pPr>
              <w:spacing w:after="0"/>
              <w:jc w:val="center"/>
              <w:rPr>
                <w:rFonts w:ascii="Cambria" w:hAnsi="Cambria"/>
                <w:sz w:val="20"/>
                <w:szCs w:val="20"/>
              </w:rPr>
            </w:pPr>
            <w:r>
              <w:rPr>
                <w:rFonts w:ascii="Cambria" w:hAnsi="Cambria"/>
                <w:sz w:val="20"/>
                <w:szCs w:val="20"/>
              </w:rPr>
              <w:t>IT.VIII.1.2</w:t>
            </w:r>
          </w:p>
        </w:tc>
        <w:tc>
          <w:tcPr>
            <w:tcW w:w="813" w:type="dxa"/>
            <w:shd w:val="clear" w:color="auto" w:fill="auto"/>
          </w:tcPr>
          <w:p w:rsidR="00C4468A" w:rsidRPr="003B76EF" w:rsidRDefault="00FB4063"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AA57D4" w:rsidP="00C44E14">
            <w:pPr>
              <w:spacing w:line="240" w:lineRule="auto"/>
              <w:rPr>
                <w:b/>
              </w:rPr>
            </w:pPr>
            <w:r>
              <w:rPr>
                <w:b/>
              </w:rPr>
              <w:lastRenderedPageBreak/>
              <w:t>Formative: Internet Scavenger Hunt Activities, Intra curricular in other units (</w:t>
            </w:r>
            <w:proofErr w:type="spellStart"/>
            <w:r>
              <w:rPr>
                <w:b/>
              </w:rPr>
              <w:t>ie</w:t>
            </w:r>
            <w:proofErr w:type="spellEnd"/>
            <w:r>
              <w:rPr>
                <w:b/>
              </w:rPr>
              <w:t xml:space="preserve"> evaluating websites for MLA reports, etc.)</w:t>
            </w:r>
            <w:r w:rsidR="00BF4F4C">
              <w:rPr>
                <w:b/>
              </w:rPr>
              <w:t xml:space="preserve">, Netiquette Quiz, </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0227F5" w:rsidP="00C44E14">
            <w:pPr>
              <w:spacing w:line="240" w:lineRule="auto"/>
              <w:rPr>
                <w:noProof/>
              </w:rPr>
            </w:pPr>
            <w:r>
              <w:rPr>
                <w:noProof/>
              </w:rPr>
              <w:t>1 &amp; 3</w:t>
            </w:r>
          </w:p>
        </w:tc>
        <w:tc>
          <w:tcPr>
            <w:tcW w:w="12348" w:type="dxa"/>
            <w:gridSpan w:val="8"/>
          </w:tcPr>
          <w:p w:rsidR="00D2622A" w:rsidRPr="00B32B56" w:rsidRDefault="00675927" w:rsidP="00B32B56">
            <w:pPr>
              <w:pStyle w:val="ListParagraph"/>
              <w:numPr>
                <w:ilvl w:val="0"/>
                <w:numId w:val="20"/>
              </w:numPr>
              <w:spacing w:line="240" w:lineRule="auto"/>
            </w:pPr>
            <w:r w:rsidRPr="00B32B56">
              <w:t xml:space="preserve">Explore website:  </w:t>
            </w:r>
            <w:r w:rsidRPr="00B32B56">
              <w:t>LearntheNet.com that discusses Internet history, differences, researching, netiquette, etc.</w:t>
            </w:r>
            <w:r w:rsidRPr="00B32B56">
              <w:t xml:space="preserve"> </w:t>
            </w:r>
          </w:p>
        </w:tc>
      </w:tr>
      <w:tr w:rsidR="00D2622A" w:rsidTr="00C44E14">
        <w:trPr>
          <w:trHeight w:val="359"/>
        </w:trPr>
        <w:tc>
          <w:tcPr>
            <w:tcW w:w="828" w:type="dxa"/>
          </w:tcPr>
          <w:p w:rsidR="00D2622A" w:rsidRPr="009505D0" w:rsidRDefault="004738EE" w:rsidP="00C44E14">
            <w:pPr>
              <w:spacing w:line="240" w:lineRule="auto"/>
              <w:rPr>
                <w:noProof/>
              </w:rPr>
            </w:pPr>
            <w:r>
              <w:rPr>
                <w:noProof/>
              </w:rPr>
              <w:t>5</w:t>
            </w:r>
          </w:p>
        </w:tc>
        <w:tc>
          <w:tcPr>
            <w:tcW w:w="12348" w:type="dxa"/>
            <w:gridSpan w:val="8"/>
          </w:tcPr>
          <w:p w:rsidR="00D2622A" w:rsidRPr="00B32B56" w:rsidRDefault="00675927" w:rsidP="00B32B56">
            <w:pPr>
              <w:pStyle w:val="ListParagraph"/>
              <w:numPr>
                <w:ilvl w:val="0"/>
                <w:numId w:val="20"/>
              </w:numPr>
              <w:spacing w:line="240" w:lineRule="auto"/>
            </w:pPr>
            <w:r w:rsidRPr="00B32B56">
              <w:t>Explore website:  NetSmartz.org and download activities under teacher resources.</w:t>
            </w:r>
          </w:p>
        </w:tc>
      </w:tr>
      <w:tr w:rsidR="00D2622A" w:rsidTr="00C44E14">
        <w:trPr>
          <w:trHeight w:val="359"/>
        </w:trPr>
        <w:tc>
          <w:tcPr>
            <w:tcW w:w="828" w:type="dxa"/>
          </w:tcPr>
          <w:p w:rsidR="00D2622A" w:rsidRPr="009505D0" w:rsidRDefault="00570309" w:rsidP="00C44E14">
            <w:pPr>
              <w:spacing w:line="240" w:lineRule="auto"/>
              <w:rPr>
                <w:noProof/>
              </w:rPr>
            </w:pPr>
            <w:r>
              <w:rPr>
                <w:noProof/>
              </w:rPr>
              <w:t>4</w:t>
            </w:r>
          </w:p>
        </w:tc>
        <w:tc>
          <w:tcPr>
            <w:tcW w:w="12348" w:type="dxa"/>
            <w:gridSpan w:val="8"/>
          </w:tcPr>
          <w:p w:rsidR="00D2622A" w:rsidRPr="00B32B56" w:rsidRDefault="00B32B56" w:rsidP="00B32B56">
            <w:pPr>
              <w:pStyle w:val="ListParagraph"/>
              <w:numPr>
                <w:ilvl w:val="0"/>
                <w:numId w:val="20"/>
              </w:numPr>
              <w:spacing w:line="240" w:lineRule="auto"/>
            </w:pPr>
            <w:r w:rsidRPr="00B32B56">
              <w:t xml:space="preserve">Review </w:t>
            </w:r>
            <w:r w:rsidR="00570309" w:rsidRPr="00B32B56">
              <w:t>Copyright PowerPoint</w:t>
            </w:r>
            <w:r w:rsidRPr="00B32B56">
              <w:t xml:space="preserve"> and </w:t>
            </w:r>
            <w:r w:rsidR="00570309" w:rsidRPr="00B32B56">
              <w:t>Ethics PowerPoint</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4738EE" w:rsidP="00C44E14">
            <w:pPr>
              <w:spacing w:line="240" w:lineRule="auto"/>
              <w:rPr>
                <w:noProof/>
              </w:rPr>
            </w:pPr>
            <w:r>
              <w:rPr>
                <w:noProof/>
              </w:rPr>
              <w:t>1 &amp; 3</w:t>
            </w:r>
          </w:p>
        </w:tc>
        <w:tc>
          <w:tcPr>
            <w:tcW w:w="12348" w:type="dxa"/>
            <w:gridSpan w:val="8"/>
          </w:tcPr>
          <w:p w:rsidR="003A7E69" w:rsidRPr="004738EE" w:rsidRDefault="00675927" w:rsidP="00B32B56">
            <w:pPr>
              <w:pStyle w:val="ListParagraph"/>
              <w:numPr>
                <w:ilvl w:val="0"/>
                <w:numId w:val="21"/>
              </w:numPr>
              <w:spacing w:line="240" w:lineRule="auto"/>
            </w:pPr>
            <w:r>
              <w:t>Have students do LearntheNet.com a</w:t>
            </w:r>
            <w:r w:rsidR="004738EE">
              <w:t xml:space="preserve">ctivities </w:t>
            </w:r>
          </w:p>
        </w:tc>
      </w:tr>
      <w:tr w:rsidR="003A7E69" w:rsidTr="00C44E14">
        <w:trPr>
          <w:trHeight w:val="466"/>
        </w:trPr>
        <w:tc>
          <w:tcPr>
            <w:tcW w:w="828" w:type="dxa"/>
          </w:tcPr>
          <w:p w:rsidR="003A7E69" w:rsidRPr="009505D0" w:rsidRDefault="004738EE" w:rsidP="00C44E14">
            <w:pPr>
              <w:spacing w:line="240" w:lineRule="auto"/>
              <w:rPr>
                <w:noProof/>
              </w:rPr>
            </w:pPr>
            <w:r>
              <w:rPr>
                <w:noProof/>
              </w:rPr>
              <w:t>5</w:t>
            </w:r>
          </w:p>
        </w:tc>
        <w:tc>
          <w:tcPr>
            <w:tcW w:w="12348" w:type="dxa"/>
            <w:gridSpan w:val="8"/>
          </w:tcPr>
          <w:p w:rsidR="003A7E69" w:rsidRPr="004738EE" w:rsidRDefault="00675927" w:rsidP="00B32B56">
            <w:pPr>
              <w:pStyle w:val="ListParagraph"/>
              <w:numPr>
                <w:ilvl w:val="0"/>
                <w:numId w:val="21"/>
              </w:numPr>
              <w:spacing w:line="240" w:lineRule="auto"/>
            </w:pPr>
            <w:r>
              <w:t>Have students do NetSmartz.org a</w:t>
            </w:r>
            <w:r w:rsidR="004738EE">
              <w:t xml:space="preserve">ctivities </w:t>
            </w:r>
          </w:p>
        </w:tc>
      </w:tr>
      <w:tr w:rsidR="003A7E69" w:rsidTr="00C44E14">
        <w:trPr>
          <w:trHeight w:val="466"/>
        </w:trPr>
        <w:tc>
          <w:tcPr>
            <w:tcW w:w="828" w:type="dxa"/>
          </w:tcPr>
          <w:p w:rsidR="003A7E69" w:rsidRPr="009505D0" w:rsidRDefault="00B32B56" w:rsidP="00C44E14">
            <w:pPr>
              <w:spacing w:line="240" w:lineRule="auto"/>
              <w:rPr>
                <w:noProof/>
              </w:rPr>
            </w:pPr>
            <w:r>
              <w:rPr>
                <w:noProof/>
              </w:rPr>
              <w:t>4</w:t>
            </w:r>
          </w:p>
        </w:tc>
        <w:tc>
          <w:tcPr>
            <w:tcW w:w="12348" w:type="dxa"/>
            <w:gridSpan w:val="8"/>
          </w:tcPr>
          <w:p w:rsidR="003A7E69" w:rsidRPr="00B32B56" w:rsidRDefault="00B32B56" w:rsidP="00B32B56">
            <w:pPr>
              <w:pStyle w:val="ListParagraph"/>
              <w:numPr>
                <w:ilvl w:val="0"/>
                <w:numId w:val="21"/>
              </w:numPr>
              <w:spacing w:line="240" w:lineRule="auto"/>
            </w:pPr>
            <w:r w:rsidRPr="00B32B56">
              <w:t xml:space="preserve">Students take notes on copyright and ethics </w:t>
            </w:r>
            <w:proofErr w:type="spellStart"/>
            <w:r w:rsidRPr="00B32B56">
              <w:t>PowerPoints</w:t>
            </w:r>
            <w:proofErr w:type="spellEnd"/>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AA57D4" w:rsidRDefault="00B32B56" w:rsidP="00BC4316">
            <w:pPr>
              <w:spacing w:line="240" w:lineRule="auto"/>
              <w:rPr>
                <w:b/>
              </w:rPr>
            </w:pPr>
            <w:hyperlink r:id="rId12" w:history="1">
              <w:r w:rsidR="00AA57D4" w:rsidRPr="00677B2E">
                <w:rPr>
                  <w:rStyle w:val="Hyperlink"/>
                  <w:b/>
                </w:rPr>
                <w:t>www.netsmartz.org</w:t>
              </w:r>
            </w:hyperlink>
            <w:r w:rsidR="00AA57D4">
              <w:rPr>
                <w:b/>
              </w:rPr>
              <w:br/>
            </w:r>
            <w:hyperlink r:id="rId13" w:history="1">
              <w:r w:rsidR="00BF4F4C" w:rsidRPr="00677B2E">
                <w:rPr>
                  <w:rStyle w:val="Hyperlink"/>
                  <w:b/>
                </w:rPr>
                <w:t>http://lessonplans.btskinner.com/intlit.html</w:t>
              </w:r>
            </w:hyperlink>
            <w:r w:rsidR="000227F5">
              <w:rPr>
                <w:b/>
              </w:rPr>
              <w:br/>
            </w:r>
            <w:hyperlink r:id="rId14" w:history="1">
              <w:r w:rsidR="000227F5" w:rsidRPr="00F93AB2">
                <w:rPr>
                  <w:rStyle w:val="Hyperlink"/>
                  <w:b/>
                </w:rPr>
                <w:t>www.learnthenet.com</w:t>
              </w:r>
            </w:hyperlink>
            <w:r w:rsidR="000227F5">
              <w:rPr>
                <w:b/>
              </w:rPr>
              <w:t xml:space="preserve"> – Website that discusses Internet history, differences, researching, netiquette, etc.</w:t>
            </w:r>
          </w:p>
          <w:p w:rsidR="001A7987" w:rsidRPr="00B32B56" w:rsidRDefault="001A7987" w:rsidP="001A7987">
            <w:pPr>
              <w:spacing w:after="0" w:line="300" w:lineRule="atLeast"/>
              <w:outlineLvl w:val="0"/>
              <w:rPr>
                <w:rFonts w:asciiTheme="minorHAnsi" w:eastAsia="Times New Roman" w:hAnsiTheme="minorHAnsi" w:cs="Arial"/>
                <w:lang w:eastAsia="zh-CN"/>
              </w:rPr>
            </w:pPr>
            <w:proofErr w:type="spellStart"/>
            <w:r w:rsidRPr="00B32B56">
              <w:rPr>
                <w:rFonts w:asciiTheme="minorHAnsi" w:eastAsia="Times New Roman" w:hAnsiTheme="minorHAnsi" w:cs="Arial"/>
                <w:b/>
                <w:bCs/>
                <w:kern w:val="36"/>
                <w:lang w:eastAsia="zh-CN"/>
              </w:rPr>
              <w:t>Resources@MCCE</w:t>
            </w:r>
            <w:proofErr w:type="spellEnd"/>
            <w:r w:rsidRPr="00B32B56">
              <w:rPr>
                <w:rFonts w:asciiTheme="minorHAnsi" w:eastAsia="Times New Roman" w:hAnsiTheme="minorHAnsi" w:cs="Arial"/>
                <w:b/>
                <w:bCs/>
                <w:kern w:val="36"/>
                <w:lang w:eastAsia="zh-CN"/>
              </w:rPr>
              <w:t xml:space="preserve"> - BE DVD ROM 16.1, </w:t>
            </w:r>
            <w:r w:rsidRPr="00B32B56">
              <w:rPr>
                <w:rFonts w:asciiTheme="minorHAnsi" w:eastAsia="Times New Roman" w:hAnsiTheme="minorHAnsi" w:cs="Arial"/>
                <w:b/>
                <w:bCs/>
                <w:lang w:eastAsia="zh-CN"/>
              </w:rPr>
              <w:t xml:space="preserve">Manners for the Real World: Basic Social Skills, Revised 2008:  </w:t>
            </w:r>
            <w:r w:rsidRPr="00B32B56">
              <w:rPr>
                <w:rFonts w:asciiTheme="minorHAnsi" w:eastAsia="Times New Roman" w:hAnsiTheme="minorHAnsi" w:cs="Arial"/>
                <w:lang w:eastAsia="zh-CN"/>
              </w:rPr>
              <w:t>Coulter Video, Inc., WINSTON SALEM, NC, COULTER VIDEO, INC., 2004.  This program demonstrates how to act during some of the most common interactions between people. Designed for ages from upper elementary school through adult, it features descriptions and demonstrations of appropriate behavior in the areas of: personal hygiene; conversations; introductions; telephone and Internet use; table manners; behavior for ladies and gentlemen; manners in public; serving as a host; being a guest. Each topic is discussed in a segment with a review of key points at the end. Upper elementary school - adult. 44 minutes. </w:t>
            </w:r>
          </w:p>
          <w:p w:rsidR="001A7987" w:rsidRPr="00B32B56" w:rsidRDefault="001A7987" w:rsidP="00BC4316">
            <w:pPr>
              <w:spacing w:line="240" w:lineRule="auto"/>
              <w:rPr>
                <w:rFonts w:asciiTheme="minorHAnsi" w:hAnsiTheme="minorHAnsi"/>
                <w:b/>
              </w:rPr>
            </w:pPr>
          </w:p>
          <w:p w:rsidR="001A7987" w:rsidRPr="00B32B56" w:rsidRDefault="001A7987" w:rsidP="001A7987">
            <w:pPr>
              <w:pStyle w:val="Heading1"/>
              <w:spacing w:before="0" w:beforeAutospacing="0" w:after="0" w:afterAutospacing="0" w:line="300" w:lineRule="atLeast"/>
              <w:rPr>
                <w:rFonts w:asciiTheme="minorHAnsi" w:hAnsiTheme="minorHAnsi" w:cs="Arial"/>
                <w:b w:val="0"/>
                <w:sz w:val="22"/>
                <w:szCs w:val="22"/>
              </w:rPr>
            </w:pPr>
            <w:proofErr w:type="spellStart"/>
            <w:r w:rsidRPr="00B32B56">
              <w:rPr>
                <w:rFonts w:asciiTheme="minorHAnsi" w:hAnsiTheme="minorHAnsi" w:cs="Arial"/>
                <w:sz w:val="22"/>
                <w:szCs w:val="22"/>
              </w:rPr>
              <w:t>Resources@MCCE</w:t>
            </w:r>
            <w:proofErr w:type="spellEnd"/>
            <w:r w:rsidRPr="00B32B56">
              <w:rPr>
                <w:rFonts w:asciiTheme="minorHAnsi" w:hAnsiTheme="minorHAnsi" w:cs="Arial"/>
                <w:sz w:val="22"/>
                <w:szCs w:val="22"/>
              </w:rPr>
              <w:t xml:space="preserve"> - G&amp;C DVD ROM 54, </w:t>
            </w:r>
            <w:proofErr w:type="spellStart"/>
            <w:r w:rsidRPr="00B32B56">
              <w:rPr>
                <w:rFonts w:asciiTheme="minorHAnsi" w:hAnsiTheme="minorHAnsi" w:cs="Arial"/>
                <w:sz w:val="22"/>
                <w:szCs w:val="22"/>
              </w:rPr>
              <w:t>CyberSafety</w:t>
            </w:r>
            <w:proofErr w:type="spellEnd"/>
            <w:r w:rsidRPr="00B32B56">
              <w:rPr>
                <w:rFonts w:asciiTheme="minorHAnsi" w:hAnsiTheme="minorHAnsi" w:cs="Arial"/>
                <w:sz w:val="22"/>
                <w:szCs w:val="22"/>
              </w:rPr>
              <w:t>:  C</w:t>
            </w:r>
            <w:r w:rsidRPr="00B32B56">
              <w:rPr>
                <w:rStyle w:val="info"/>
                <w:rFonts w:asciiTheme="minorHAnsi" w:hAnsiTheme="minorHAnsi" w:cs="Arial"/>
                <w:sz w:val="22"/>
                <w:szCs w:val="22"/>
              </w:rPr>
              <w:t xml:space="preserve">ambridge Educational, LAWRENCEVILLE, NJ, FILMS MEDIA GROUP, 2008.  </w:t>
            </w:r>
            <w:r w:rsidRPr="00B32B56">
              <w:rPr>
                <w:rFonts w:asciiTheme="minorHAnsi" w:hAnsiTheme="minorHAnsi" w:cs="Arial"/>
                <w:b w:val="0"/>
                <w:sz w:val="22"/>
                <w:szCs w:val="22"/>
              </w:rPr>
              <w:t>This program warns students about how vulnerable they are whenever they venture into the cyber realm-even when they think they're among "friends." Explaining how to take precautions in chat rooms, on social networking sites, and anywhere that predators lurk, the program strongly advises against physically meeting any online acquaintance and emphasizes that parents or guardians must be involved in such meetings. Commentary from experts and questions from peers reinforce the notion of an irreversible virtual footprint-a trail that all Internet users leave which can be used against them. 19 minutes.</w:t>
            </w:r>
            <w:r w:rsidRPr="00B32B56">
              <w:rPr>
                <w:rStyle w:val="apple-converted-space"/>
                <w:rFonts w:asciiTheme="minorHAnsi" w:hAnsiTheme="minorHAnsi" w:cs="Arial"/>
                <w:b w:val="0"/>
                <w:sz w:val="22"/>
                <w:szCs w:val="22"/>
              </w:rPr>
              <w:t> </w:t>
            </w:r>
            <w:bookmarkStart w:id="0" w:name="_GoBack"/>
            <w:bookmarkEnd w:id="0"/>
          </w:p>
          <w:p w:rsidR="001A7987" w:rsidRPr="00B32B56" w:rsidRDefault="001A7987" w:rsidP="00BC4316">
            <w:pPr>
              <w:spacing w:line="240" w:lineRule="auto"/>
              <w:rPr>
                <w:rFonts w:asciiTheme="minorHAnsi" w:hAnsiTheme="minorHAnsi"/>
                <w:b/>
              </w:rPr>
            </w:pPr>
          </w:p>
          <w:p w:rsidR="001A7987" w:rsidRPr="00B32B56" w:rsidRDefault="001A7987" w:rsidP="001A7987">
            <w:pPr>
              <w:pStyle w:val="Heading1"/>
              <w:spacing w:before="0" w:beforeAutospacing="0" w:after="0" w:afterAutospacing="0" w:line="300" w:lineRule="atLeast"/>
              <w:rPr>
                <w:rFonts w:asciiTheme="minorHAnsi" w:hAnsiTheme="minorHAnsi" w:cs="Arial"/>
                <w:b w:val="0"/>
                <w:sz w:val="22"/>
                <w:szCs w:val="22"/>
              </w:rPr>
            </w:pPr>
            <w:proofErr w:type="spellStart"/>
            <w:r w:rsidRPr="00B32B56">
              <w:rPr>
                <w:rFonts w:asciiTheme="minorHAnsi" w:hAnsiTheme="minorHAnsi" w:cs="Arial"/>
                <w:sz w:val="22"/>
                <w:szCs w:val="22"/>
              </w:rPr>
              <w:t>Resources@MCCE</w:t>
            </w:r>
            <w:proofErr w:type="spellEnd"/>
            <w:r w:rsidRPr="00B32B56">
              <w:rPr>
                <w:rFonts w:asciiTheme="minorHAnsi" w:hAnsiTheme="minorHAnsi" w:cs="Arial"/>
                <w:sz w:val="22"/>
                <w:szCs w:val="22"/>
              </w:rPr>
              <w:t xml:space="preserve"> - TE 11.0000 P187, Media Literacy: Thinking Critically About the Internet:  </w:t>
            </w:r>
            <w:r w:rsidRPr="00B32B56">
              <w:rPr>
                <w:rStyle w:val="info"/>
                <w:rFonts w:asciiTheme="minorHAnsi" w:hAnsiTheme="minorHAnsi" w:cs="Arial"/>
                <w:sz w:val="22"/>
                <w:szCs w:val="22"/>
              </w:rPr>
              <w:t xml:space="preserve">Peyton </w:t>
            </w:r>
            <w:proofErr w:type="spellStart"/>
            <w:r w:rsidRPr="00B32B56">
              <w:rPr>
                <w:rStyle w:val="info"/>
                <w:rFonts w:asciiTheme="minorHAnsi" w:hAnsiTheme="minorHAnsi" w:cs="Arial"/>
                <w:sz w:val="22"/>
                <w:szCs w:val="22"/>
              </w:rPr>
              <w:t>Paxson</w:t>
            </w:r>
            <w:proofErr w:type="spellEnd"/>
            <w:r w:rsidRPr="00B32B56">
              <w:rPr>
                <w:rStyle w:val="info"/>
                <w:rFonts w:asciiTheme="minorHAnsi" w:hAnsiTheme="minorHAnsi" w:cs="Arial"/>
                <w:sz w:val="22"/>
                <w:szCs w:val="22"/>
              </w:rPr>
              <w:t>, PORTLAND, ME, WALCH EDUCATION, 2009</w:t>
            </w:r>
            <w:r w:rsidRPr="00B32B56">
              <w:rPr>
                <w:rStyle w:val="info"/>
                <w:rFonts w:asciiTheme="minorHAnsi" w:hAnsiTheme="minorHAnsi" w:cs="Arial"/>
                <w:b w:val="0"/>
                <w:sz w:val="22"/>
                <w:szCs w:val="22"/>
              </w:rPr>
              <w:t xml:space="preserve">.  </w:t>
            </w:r>
            <w:proofErr w:type="gramStart"/>
            <w:r w:rsidRPr="00B32B56">
              <w:rPr>
                <w:rFonts w:asciiTheme="minorHAnsi" w:hAnsiTheme="minorHAnsi" w:cs="Arial"/>
                <w:b w:val="0"/>
                <w:sz w:val="22"/>
                <w:szCs w:val="22"/>
              </w:rPr>
              <w:t>Designed to help students develop critical-thinking skills through media literacy, focuses on the Internet.</w:t>
            </w:r>
            <w:proofErr w:type="gramEnd"/>
            <w:r w:rsidRPr="00B32B56">
              <w:rPr>
                <w:rFonts w:asciiTheme="minorHAnsi" w:hAnsiTheme="minorHAnsi" w:cs="Arial"/>
                <w:b w:val="0"/>
                <w:sz w:val="22"/>
                <w:szCs w:val="22"/>
              </w:rPr>
              <w:t xml:space="preserve"> </w:t>
            </w:r>
            <w:proofErr w:type="gramStart"/>
            <w:r w:rsidRPr="00B32B56">
              <w:rPr>
                <w:rFonts w:asciiTheme="minorHAnsi" w:hAnsiTheme="minorHAnsi" w:cs="Arial"/>
                <w:b w:val="0"/>
                <w:sz w:val="22"/>
                <w:szCs w:val="22"/>
              </w:rPr>
              <w:t>Provides students with information about the Internet as an entertainment medium, as a business, and as a source of social and cultural exchange.</w:t>
            </w:r>
            <w:proofErr w:type="gramEnd"/>
            <w:r w:rsidRPr="00B32B56">
              <w:rPr>
                <w:rFonts w:asciiTheme="minorHAnsi" w:hAnsiTheme="minorHAnsi" w:cs="Arial"/>
                <w:b w:val="0"/>
                <w:sz w:val="22"/>
                <w:szCs w:val="22"/>
              </w:rPr>
              <w:t xml:space="preserve"> </w:t>
            </w:r>
            <w:proofErr w:type="gramStart"/>
            <w:r w:rsidRPr="00B32B56">
              <w:rPr>
                <w:rFonts w:asciiTheme="minorHAnsi" w:hAnsiTheme="minorHAnsi" w:cs="Arial"/>
                <w:b w:val="0"/>
                <w:sz w:val="22"/>
                <w:szCs w:val="22"/>
              </w:rPr>
              <w:t>Strives to make students more informed and more discerning Internet users.</w:t>
            </w:r>
            <w:proofErr w:type="gramEnd"/>
          </w:p>
          <w:p w:rsidR="001A7987" w:rsidRPr="00B32B56" w:rsidRDefault="001A7987" w:rsidP="00BC4316">
            <w:pPr>
              <w:spacing w:line="240" w:lineRule="auto"/>
              <w:rPr>
                <w:rFonts w:asciiTheme="minorHAnsi" w:hAnsiTheme="minorHAnsi"/>
                <w:b/>
              </w:rPr>
            </w:pPr>
          </w:p>
          <w:p w:rsidR="001A7987" w:rsidRPr="00C44E14" w:rsidRDefault="001A7987" w:rsidP="00186BE5">
            <w:pPr>
              <w:pStyle w:val="Heading1"/>
              <w:spacing w:before="0" w:beforeAutospacing="0" w:after="0" w:afterAutospacing="0" w:line="300" w:lineRule="atLeast"/>
              <w:rPr>
                <w:b w:val="0"/>
              </w:rPr>
            </w:pPr>
            <w:proofErr w:type="spellStart"/>
            <w:r w:rsidRPr="00B32B56">
              <w:rPr>
                <w:rFonts w:asciiTheme="minorHAnsi" w:hAnsiTheme="minorHAnsi" w:cs="Arial"/>
                <w:sz w:val="22"/>
                <w:szCs w:val="22"/>
              </w:rPr>
              <w:t>Resources@MCCE</w:t>
            </w:r>
            <w:proofErr w:type="spellEnd"/>
            <w:r w:rsidRPr="00B32B56">
              <w:rPr>
                <w:rFonts w:asciiTheme="minorHAnsi" w:hAnsiTheme="minorHAnsi" w:cs="Arial"/>
                <w:sz w:val="22"/>
                <w:szCs w:val="22"/>
              </w:rPr>
              <w:t xml:space="preserve"> - BE DVD ROM 9, Business Basics: Copyrights:  </w:t>
            </w:r>
            <w:r w:rsidRPr="00B32B56">
              <w:rPr>
                <w:rStyle w:val="info"/>
                <w:rFonts w:asciiTheme="minorHAnsi" w:hAnsiTheme="minorHAnsi" w:cs="Arial"/>
                <w:sz w:val="22"/>
                <w:szCs w:val="22"/>
              </w:rPr>
              <w:t>Global Video, LLC</w:t>
            </w:r>
            <w:r w:rsidR="00186BE5" w:rsidRPr="00B32B56">
              <w:rPr>
                <w:rStyle w:val="info"/>
                <w:rFonts w:asciiTheme="minorHAnsi" w:hAnsiTheme="minorHAnsi" w:cs="Arial"/>
                <w:sz w:val="22"/>
                <w:szCs w:val="22"/>
              </w:rPr>
              <w:t xml:space="preserve">, </w:t>
            </w:r>
            <w:r w:rsidRPr="00B32B56">
              <w:rPr>
                <w:rStyle w:val="info"/>
                <w:rFonts w:asciiTheme="minorHAnsi" w:hAnsiTheme="minorHAnsi" w:cs="Arial"/>
                <w:sz w:val="22"/>
                <w:szCs w:val="22"/>
              </w:rPr>
              <w:t>SCOTTSDALE, AZ, GLOBAL VIDEO, LLC, 2004.</w:t>
            </w:r>
            <w:r w:rsidR="00186BE5" w:rsidRPr="00B32B56">
              <w:rPr>
                <w:rStyle w:val="info"/>
                <w:rFonts w:asciiTheme="minorHAnsi" w:hAnsiTheme="minorHAnsi" w:cs="Arial"/>
                <w:sz w:val="22"/>
                <w:szCs w:val="22"/>
              </w:rPr>
              <w:t xml:space="preserve">  </w:t>
            </w:r>
            <w:r w:rsidRPr="00B32B56">
              <w:rPr>
                <w:rFonts w:asciiTheme="minorHAnsi" w:hAnsiTheme="minorHAnsi" w:cs="Arial"/>
                <w:b w:val="0"/>
                <w:sz w:val="22"/>
                <w:szCs w:val="22"/>
              </w:rPr>
              <w:t xml:space="preserve">Program describes what needs to be copyrighted and what does not. Visit the U.S. Copyright Office and learn the answers to common questions about copyright law. 18 minutes. </w:t>
            </w:r>
            <w:proofErr w:type="gramStart"/>
            <w:r w:rsidRPr="00B32B56">
              <w:rPr>
                <w:rFonts w:asciiTheme="minorHAnsi" w:hAnsiTheme="minorHAnsi" w:cs="Arial"/>
                <w:b w:val="0"/>
                <w:sz w:val="22"/>
                <w:szCs w:val="22"/>
              </w:rPr>
              <w:t>Grades 9-12.</w:t>
            </w:r>
            <w:proofErr w:type="gramEnd"/>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3A" w:rsidRDefault="00594E3A" w:rsidP="00FD5A4D">
      <w:pPr>
        <w:spacing w:after="0" w:line="240" w:lineRule="auto"/>
      </w:pPr>
      <w:r>
        <w:separator/>
      </w:r>
    </w:p>
  </w:endnote>
  <w:endnote w:type="continuationSeparator" w:id="0">
    <w:p w:rsidR="00594E3A" w:rsidRDefault="00594E3A" w:rsidP="00FD5A4D">
      <w:pPr>
        <w:spacing w:after="0" w:line="240" w:lineRule="auto"/>
      </w:pPr>
      <w:r>
        <w:continuationSeparator/>
      </w:r>
    </w:p>
  </w:endnote>
  <w:endnote w:type="continuationNotice" w:id="1">
    <w:p w:rsidR="00594E3A" w:rsidRDefault="00594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B32B56">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B32B56">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3A" w:rsidRDefault="00594E3A" w:rsidP="00FD5A4D">
      <w:pPr>
        <w:spacing w:after="0" w:line="240" w:lineRule="auto"/>
      </w:pPr>
      <w:r>
        <w:separator/>
      </w:r>
    </w:p>
  </w:footnote>
  <w:footnote w:type="continuationSeparator" w:id="0">
    <w:p w:rsidR="00594E3A" w:rsidRDefault="00594E3A" w:rsidP="00FD5A4D">
      <w:pPr>
        <w:spacing w:after="0" w:line="240" w:lineRule="auto"/>
      </w:pPr>
      <w:r>
        <w:continuationSeparator/>
      </w:r>
    </w:p>
  </w:footnote>
  <w:footnote w:type="continuationNotice" w:id="1">
    <w:p w:rsidR="00594E3A" w:rsidRDefault="00594E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FB4063">
    <w:pPr>
      <w:pStyle w:val="Header"/>
      <w:tabs>
        <w:tab w:val="left" w:pos="8640"/>
      </w:tabs>
    </w:pPr>
    <w:r>
      <w:t xml:space="preserve">GRADE LEVEL/UNIT TITLE: </w:t>
    </w:r>
    <w:r w:rsidR="005A0F5D">
      <w:t>11-12/</w:t>
    </w:r>
    <w:r w:rsidR="005E48BC">
      <w:t>Explore the Internet and Online Classroom Portals</w:t>
    </w:r>
    <w:r w:rsidR="005A0F5D">
      <w:tab/>
    </w:r>
    <w:r w:rsidR="00FB4063">
      <w:tab/>
    </w:r>
    <w:r w:rsidR="00FB4063">
      <w:t xml:space="preserve">Course Code: </w:t>
    </w:r>
    <w:proofErr w:type="gramStart"/>
    <w:r w:rsidR="00FB4063">
      <w:t>034352  CIP</w:t>
    </w:r>
    <w:proofErr w:type="gramEnd"/>
    <w:r w:rsidR="00FB4063">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2DE"/>
    <w:multiLevelType w:val="hybridMultilevel"/>
    <w:tmpl w:val="55147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8709F"/>
    <w:multiLevelType w:val="hybridMultilevel"/>
    <w:tmpl w:val="C702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AA70EC"/>
    <w:multiLevelType w:val="hybridMultilevel"/>
    <w:tmpl w:val="2020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7"/>
  </w:num>
  <w:num w:numId="4">
    <w:abstractNumId w:val="7"/>
  </w:num>
  <w:num w:numId="5">
    <w:abstractNumId w:val="12"/>
  </w:num>
  <w:num w:numId="6">
    <w:abstractNumId w:val="5"/>
  </w:num>
  <w:num w:numId="7">
    <w:abstractNumId w:val="9"/>
  </w:num>
  <w:num w:numId="8">
    <w:abstractNumId w:val="19"/>
  </w:num>
  <w:num w:numId="9">
    <w:abstractNumId w:val="4"/>
  </w:num>
  <w:num w:numId="10">
    <w:abstractNumId w:val="3"/>
  </w:num>
  <w:num w:numId="11">
    <w:abstractNumId w:val="18"/>
  </w:num>
  <w:num w:numId="12">
    <w:abstractNumId w:val="8"/>
  </w:num>
  <w:num w:numId="13">
    <w:abstractNumId w:val="6"/>
  </w:num>
  <w:num w:numId="14">
    <w:abstractNumId w:val="16"/>
  </w:num>
  <w:num w:numId="15">
    <w:abstractNumId w:val="13"/>
  </w:num>
  <w:num w:numId="16">
    <w:abstractNumId w:val="10"/>
  </w:num>
  <w:num w:numId="17">
    <w:abstractNumId w:val="11"/>
  </w:num>
  <w:num w:numId="18">
    <w:abstractNumId w:val="2"/>
  </w:num>
  <w:num w:numId="19">
    <w:abstractNumId w:val="15"/>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27F5"/>
    <w:rsid w:val="000553C2"/>
    <w:rsid w:val="00075C23"/>
    <w:rsid w:val="000B1A54"/>
    <w:rsid w:val="000E2AB8"/>
    <w:rsid w:val="000F12AC"/>
    <w:rsid w:val="000F47EE"/>
    <w:rsid w:val="001270A2"/>
    <w:rsid w:val="0013604E"/>
    <w:rsid w:val="0015225E"/>
    <w:rsid w:val="001522D0"/>
    <w:rsid w:val="001731D1"/>
    <w:rsid w:val="00175491"/>
    <w:rsid w:val="00186BE5"/>
    <w:rsid w:val="001A7987"/>
    <w:rsid w:val="001B1672"/>
    <w:rsid w:val="001B3773"/>
    <w:rsid w:val="001C64E7"/>
    <w:rsid w:val="0020289B"/>
    <w:rsid w:val="00223F54"/>
    <w:rsid w:val="002316F3"/>
    <w:rsid w:val="00233170"/>
    <w:rsid w:val="00254338"/>
    <w:rsid w:val="00280059"/>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738EE"/>
    <w:rsid w:val="004871C5"/>
    <w:rsid w:val="004E48C1"/>
    <w:rsid w:val="004F514F"/>
    <w:rsid w:val="00522002"/>
    <w:rsid w:val="00526777"/>
    <w:rsid w:val="00570309"/>
    <w:rsid w:val="00574E3C"/>
    <w:rsid w:val="005940E9"/>
    <w:rsid w:val="00594E3A"/>
    <w:rsid w:val="005A0F5D"/>
    <w:rsid w:val="005E48BC"/>
    <w:rsid w:val="00621267"/>
    <w:rsid w:val="006569A4"/>
    <w:rsid w:val="00675927"/>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7334"/>
    <w:rsid w:val="0094250B"/>
    <w:rsid w:val="009505D0"/>
    <w:rsid w:val="009C2B9E"/>
    <w:rsid w:val="00A33DF8"/>
    <w:rsid w:val="00A534C4"/>
    <w:rsid w:val="00A5553E"/>
    <w:rsid w:val="00AA57D4"/>
    <w:rsid w:val="00AC243F"/>
    <w:rsid w:val="00B05A7F"/>
    <w:rsid w:val="00B13A4E"/>
    <w:rsid w:val="00B32B56"/>
    <w:rsid w:val="00BB21C0"/>
    <w:rsid w:val="00BB7AD7"/>
    <w:rsid w:val="00BC09A6"/>
    <w:rsid w:val="00BC4316"/>
    <w:rsid w:val="00BF4F4C"/>
    <w:rsid w:val="00C10270"/>
    <w:rsid w:val="00C131A8"/>
    <w:rsid w:val="00C15E0C"/>
    <w:rsid w:val="00C303BA"/>
    <w:rsid w:val="00C4468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B4063"/>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A798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A798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AA57D4"/>
    <w:rPr>
      <w:color w:val="0000FF" w:themeColor="hyperlink"/>
      <w:u w:val="single"/>
    </w:rPr>
  </w:style>
  <w:style w:type="character" w:customStyle="1" w:styleId="Heading1Char">
    <w:name w:val="Heading 1 Char"/>
    <w:basedOn w:val="DefaultParagraphFont"/>
    <w:link w:val="Heading1"/>
    <w:uiPriority w:val="9"/>
    <w:rsid w:val="001A798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A798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1A798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A7987"/>
  </w:style>
  <w:style w:type="character" w:customStyle="1" w:styleId="apple-converted-space">
    <w:name w:val="apple-converted-space"/>
    <w:basedOn w:val="DefaultParagraphFont"/>
    <w:rsid w:val="001A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4235">
      <w:bodyDiv w:val="1"/>
      <w:marLeft w:val="0"/>
      <w:marRight w:val="0"/>
      <w:marTop w:val="0"/>
      <w:marBottom w:val="0"/>
      <w:divBdr>
        <w:top w:val="none" w:sz="0" w:space="0" w:color="auto"/>
        <w:left w:val="none" w:sz="0" w:space="0" w:color="auto"/>
        <w:bottom w:val="none" w:sz="0" w:space="0" w:color="auto"/>
        <w:right w:val="none" w:sz="0" w:space="0" w:color="auto"/>
      </w:divBdr>
    </w:div>
    <w:div w:id="756093573">
      <w:bodyDiv w:val="1"/>
      <w:marLeft w:val="0"/>
      <w:marRight w:val="0"/>
      <w:marTop w:val="0"/>
      <w:marBottom w:val="0"/>
      <w:divBdr>
        <w:top w:val="none" w:sz="0" w:space="0" w:color="auto"/>
        <w:left w:val="none" w:sz="0" w:space="0" w:color="auto"/>
        <w:bottom w:val="none" w:sz="0" w:space="0" w:color="auto"/>
        <w:right w:val="none" w:sz="0" w:space="0" w:color="auto"/>
      </w:divBdr>
    </w:div>
    <w:div w:id="1010835781">
      <w:bodyDiv w:val="1"/>
      <w:marLeft w:val="0"/>
      <w:marRight w:val="0"/>
      <w:marTop w:val="0"/>
      <w:marBottom w:val="0"/>
      <w:divBdr>
        <w:top w:val="none" w:sz="0" w:space="0" w:color="auto"/>
        <w:left w:val="none" w:sz="0" w:space="0" w:color="auto"/>
        <w:bottom w:val="none" w:sz="0" w:space="0" w:color="auto"/>
        <w:right w:val="none" w:sz="0" w:space="0" w:color="auto"/>
      </w:divBdr>
    </w:div>
    <w:div w:id="12270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ssonplans.btskinner.com/intli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etsmartz.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arnth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3CF6F1-49D7-4903-A23E-53532E1E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2012-09-14T20:13:00Z</dcterms:created>
  <dcterms:modified xsi:type="dcterms:W3CDTF">2013-04-30T20:24:00Z</dcterms:modified>
</cp:coreProperties>
</file>