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5D985510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6B4D1E">
              <w:t>(1 of 5</w:t>
            </w:r>
            <w:bookmarkStart w:id="0" w:name="_GoBack"/>
            <w:bookmarkEnd w:id="0"/>
            <w:r w:rsidR="004F254B">
              <w:t xml:space="preserve">) </w:t>
            </w:r>
            <w:r w:rsidR="00C03D87">
              <w:t>Conductors and Cables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20CF84D7" w14:textId="1BE0E476" w:rsidR="004F254B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4F254B">
              <w:t>(2 of 3) System Elements</w:t>
            </w:r>
          </w:p>
          <w:p w14:paraId="4E06C22B" w14:textId="1DA95524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4F254B">
              <w:t xml:space="preserve"> Electrical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4DBBB053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3A2AD9">
              <w:rPr>
                <w:color w:val="FF0000"/>
                <w:sz w:val="22"/>
                <w:szCs w:val="22"/>
              </w:rPr>
              <w:t>safety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346832F3" w14:textId="1C77631B" w:rsidR="006340C0" w:rsidRDefault="003A2AD9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conductor and cable installations planned?</w:t>
            </w:r>
          </w:p>
          <w:p w14:paraId="668D9639" w14:textId="2B21B995" w:rsidR="003A2AD9" w:rsidRPr="001607D2" w:rsidRDefault="003A2AD9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conductors and cables properly installed?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CA27C3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7871C460" w14:textId="3F879BF3" w:rsidR="003A2AD9" w:rsidRDefault="003A2AD9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conductors and cables (including handling and storage practices).</w:t>
            </w:r>
          </w:p>
          <w:p w14:paraId="16B69A2E" w14:textId="47D95A80" w:rsidR="00000E3D" w:rsidRPr="00000E3D" w:rsidRDefault="003A2AD9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processes related to planning and installing conductors and cables.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DA0D278" w14:textId="77777777" w:rsidR="006340C0" w:rsidRDefault="003A2AD9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Cable dissection drawing — checklist</w:t>
            </w:r>
          </w:p>
          <w:p w14:paraId="66675F4F" w14:textId="77777777" w:rsidR="003A2AD9" w:rsidRDefault="003A2AD9" w:rsidP="003A2AD9">
            <w:pPr>
              <w:rPr>
                <w:sz w:val="22"/>
                <w:szCs w:val="22"/>
              </w:rPr>
            </w:pPr>
          </w:p>
          <w:p w14:paraId="281277CA" w14:textId="77777777" w:rsidR="003A2AD9" w:rsidRPr="003A2AD9" w:rsidRDefault="003A2AD9" w:rsidP="003A2AD9">
            <w:pPr>
              <w:rPr>
                <w:sz w:val="22"/>
                <w:szCs w:val="22"/>
              </w:rPr>
            </w:pPr>
          </w:p>
          <w:p w14:paraId="76459F77" w14:textId="07266117" w:rsidR="003A2AD9" w:rsidRPr="00000E3D" w:rsidRDefault="003A2AD9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Process guide — rubric</w:t>
            </w:r>
          </w:p>
        </w:tc>
      </w:tr>
    </w:tbl>
    <w:p w14:paraId="6960F5A8" w14:textId="4DB72C2C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0042E0C7" w14:textId="0DB7C1EB" w:rsidR="006340C0" w:rsidRDefault="001F2A0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Show…</w:t>
            </w:r>
            <w:r w:rsidR="00001A99">
              <w:rPr>
                <w:b/>
                <w:sz w:val="22"/>
                <w:szCs w:val="22"/>
              </w:rPr>
              <w:t xml:space="preserve"> </w:t>
            </w:r>
            <w:r w:rsidR="00001A99">
              <w:rPr>
                <w:sz w:val="22"/>
                <w:szCs w:val="22"/>
              </w:rPr>
              <w:t>(45 minutes)</w:t>
            </w:r>
          </w:p>
          <w:p w14:paraId="6EDE5299" w14:textId="77777777" w:rsidR="0005712D" w:rsidRDefault="00CA27C3" w:rsidP="00CA2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samples (as described in the Materials section)</w:t>
            </w:r>
            <w:r w:rsidR="00E6075F">
              <w:rPr>
                <w:sz w:val="22"/>
                <w:szCs w:val="22"/>
              </w:rPr>
              <w:t xml:space="preserve">, Instructor </w:t>
            </w:r>
            <w:r>
              <w:rPr>
                <w:sz w:val="22"/>
                <w:szCs w:val="22"/>
              </w:rPr>
              <w:t>guides an exploration of conductors and cables, describing what they are made of and how they are handled and stored. Students ask questions and take notes</w:t>
            </w:r>
            <w:r w:rsidR="00D43CB8">
              <w:rPr>
                <w:sz w:val="22"/>
                <w:szCs w:val="22"/>
              </w:rPr>
              <w:t>.</w:t>
            </w:r>
            <w:r w:rsidR="0005712D">
              <w:rPr>
                <w:sz w:val="22"/>
                <w:szCs w:val="22"/>
              </w:rPr>
              <w:t xml:space="preserve"> When Instructor is finished, students draw diagrams of cables, labeling all components and including handling and storage practices as described by Instructor.</w:t>
            </w:r>
          </w:p>
          <w:p w14:paraId="6213A07B" w14:textId="77777777" w:rsidR="001F2A03" w:rsidRDefault="001F2A03" w:rsidP="00CA27C3">
            <w:pPr>
              <w:rPr>
                <w:sz w:val="22"/>
                <w:szCs w:val="22"/>
              </w:rPr>
            </w:pPr>
          </w:p>
          <w:p w14:paraId="4BDD8EB0" w14:textId="77777777" w:rsidR="001F2A03" w:rsidRDefault="001F2A03" w:rsidP="00CA27C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…and Tell </w:t>
            </w:r>
            <w:r>
              <w:rPr>
                <w:sz w:val="22"/>
                <w:szCs w:val="22"/>
              </w:rPr>
              <w:t>(45 minutes)</w:t>
            </w:r>
          </w:p>
          <w:p w14:paraId="3EAF3076" w14:textId="39ADD405" w:rsidR="001F2A03" w:rsidRPr="001F2A03" w:rsidRDefault="00786FFB" w:rsidP="00CA2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samples and tools (as described in the Materials section), Instructor demonstrates a variety (Instructor’s choice) of conductor installations, terminations, and splices. Students ask questions and take notes. After the demonstrations, Instructor assigns students a scenario in which to plan a conductor installation. Students are to write up the processes for planning and installing conductors for the given scenario.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10B39370" w14:textId="7CE6F6CA" w:rsidR="006340C0" w:rsidRDefault="00001A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3ADF08C7" w14:textId="77777777" w:rsidR="00001A99" w:rsidRDefault="00001A99" w:rsidP="00001A9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Samples of various kinds of conductors, cables, and the tools used to work with them</w:t>
            </w:r>
          </w:p>
          <w:p w14:paraId="2653EE3A" w14:textId="77777777" w:rsidR="00001A99" w:rsidRDefault="00001A99" w:rsidP="00001A9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3750F">
              <w:rPr>
                <w:sz w:val="22"/>
                <w:szCs w:val="22"/>
              </w:rPr>
              <w:t>[CABLE DISSECTION CHECKLIST]</w:t>
            </w:r>
          </w:p>
          <w:p w14:paraId="54479B81" w14:textId="4396ADC7" w:rsidR="00001A99" w:rsidRPr="00001A99" w:rsidRDefault="00001A99" w:rsidP="00001A9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4D65F1">
              <w:rPr>
                <w:sz w:val="22"/>
                <w:szCs w:val="22"/>
              </w:rPr>
              <w:t>[CABLE PROCESS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CA27C3" w:rsidRDefault="00CA27C3" w:rsidP="00601555">
      <w:r>
        <w:separator/>
      </w:r>
    </w:p>
  </w:endnote>
  <w:endnote w:type="continuationSeparator" w:id="0">
    <w:p w14:paraId="76DB525F" w14:textId="77777777" w:rsidR="00CA27C3" w:rsidRDefault="00CA27C3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CA27C3" w:rsidRDefault="006B4D1E">
    <w:pPr>
      <w:pStyle w:val="Footer"/>
    </w:pPr>
    <w:sdt>
      <w:sdtPr>
        <w:id w:val="969400743"/>
        <w:temporary/>
        <w:showingPlcHdr/>
      </w:sdtPr>
      <w:sdtEndPr/>
      <w:sdtContent>
        <w:r w:rsidR="00CA27C3">
          <w:t>[Type text]</w:t>
        </w:r>
      </w:sdtContent>
    </w:sdt>
    <w:r w:rsidR="00CA27C3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CA27C3">
          <w:t>[Type text]</w:t>
        </w:r>
      </w:sdtContent>
    </w:sdt>
    <w:r w:rsidR="00CA27C3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CA27C3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CA27C3" w:rsidRPr="00601555" w:rsidRDefault="00CA27C3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6B4D1E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6B4D1E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CA27C3" w:rsidRDefault="00CA27C3" w:rsidP="00601555">
      <w:r>
        <w:separator/>
      </w:r>
    </w:p>
  </w:footnote>
  <w:footnote w:type="continuationSeparator" w:id="0">
    <w:p w14:paraId="2FB767BE" w14:textId="77777777" w:rsidR="00CA27C3" w:rsidRDefault="00CA27C3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CA27C3" w:rsidRDefault="006B4D1E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CA27C3">
          <w:t>[Type text]</w:t>
        </w:r>
      </w:sdtContent>
    </w:sdt>
    <w:r w:rsidR="00CA27C3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CA27C3">
          <w:t>[Type text]</w:t>
        </w:r>
      </w:sdtContent>
    </w:sdt>
    <w:r w:rsidR="00CA27C3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CA27C3">
          <w:t>[Type text]</w:t>
        </w:r>
      </w:sdtContent>
    </w:sdt>
  </w:p>
  <w:p w14:paraId="3D0CF905" w14:textId="77777777" w:rsidR="00CA27C3" w:rsidRDefault="00CA27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CA27C3" w:rsidRPr="00601555" w:rsidRDefault="00CA27C3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33B1956F" w:rsidR="00CA27C3" w:rsidRPr="00601555" w:rsidRDefault="00CA27C3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Electrical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Elements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Conductors and Cables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534D6"/>
    <w:multiLevelType w:val="hybridMultilevel"/>
    <w:tmpl w:val="83DC0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01A99"/>
    <w:rsid w:val="0003750F"/>
    <w:rsid w:val="0005712D"/>
    <w:rsid w:val="001607D2"/>
    <w:rsid w:val="001F2A03"/>
    <w:rsid w:val="0026145C"/>
    <w:rsid w:val="00276C45"/>
    <w:rsid w:val="00276FF9"/>
    <w:rsid w:val="00314A6A"/>
    <w:rsid w:val="003A2AD9"/>
    <w:rsid w:val="004D65F1"/>
    <w:rsid w:val="004F254B"/>
    <w:rsid w:val="00601555"/>
    <w:rsid w:val="006340C0"/>
    <w:rsid w:val="006940F9"/>
    <w:rsid w:val="006B4D1E"/>
    <w:rsid w:val="006B5691"/>
    <w:rsid w:val="00786FFB"/>
    <w:rsid w:val="00C03D87"/>
    <w:rsid w:val="00CA27C3"/>
    <w:rsid w:val="00D43CB8"/>
    <w:rsid w:val="00E6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042589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B45923-BE6B-3347-B418-34E37838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1443</Characters>
  <Application>Microsoft Macintosh Word</Application>
  <DocSecurity>0</DocSecurity>
  <Lines>12</Lines>
  <Paragraphs>3</Paragraphs>
  <ScaleCrop>false</ScaleCrop>
  <Company>Whitman Enterprises, LLC (d/b/a In Credible English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14</cp:revision>
  <dcterms:created xsi:type="dcterms:W3CDTF">2013-05-27T14:14:00Z</dcterms:created>
  <dcterms:modified xsi:type="dcterms:W3CDTF">2013-05-28T21:28:00Z</dcterms:modified>
</cp:coreProperties>
</file>