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9360"/>
      </w:tblGrid>
      <w:tr w:rsidR="00BA580F" w:rsidRPr="00BA580F" w:rsidTr="00BA580F">
        <w:trPr>
          <w:tblCellSpacing w:w="0" w:type="dxa"/>
        </w:trPr>
        <w:tc>
          <w:tcPr>
            <w:tcW w:w="9360" w:type="dxa"/>
            <w:shd w:val="clear" w:color="auto" w:fill="FFFFFF"/>
            <w:vAlign w:val="center"/>
            <w:hideMark/>
          </w:tcPr>
          <w:tbl>
            <w:tblPr>
              <w:tblpPr w:leftFromText="180" w:rightFromText="180" w:horzAnchor="margin" w:tblpXSpec="center" w:tblpY="300"/>
              <w:tblOverlap w:val="never"/>
              <w:tblW w:w="11805" w:type="dxa"/>
              <w:tblCellSpacing w:w="0" w:type="dxa"/>
              <w:tblCellMar>
                <w:left w:w="0" w:type="dxa"/>
                <w:right w:w="0" w:type="dxa"/>
              </w:tblCellMar>
              <w:tblLook w:val="04A0" w:firstRow="1" w:lastRow="0" w:firstColumn="1" w:lastColumn="0" w:noHBand="0" w:noVBand="1"/>
            </w:tblPr>
            <w:tblGrid>
              <w:gridCol w:w="5038"/>
              <w:gridCol w:w="1970"/>
              <w:gridCol w:w="4710"/>
              <w:gridCol w:w="87"/>
            </w:tblGrid>
            <w:tr w:rsidR="00BA580F" w:rsidRPr="00BA580F" w:rsidTr="00BA580F">
              <w:trPr>
                <w:gridAfter w:val="2"/>
                <w:wAfter w:w="4797" w:type="dxa"/>
                <w:tblCellSpacing w:w="0" w:type="dxa"/>
              </w:trPr>
              <w:tc>
                <w:tcPr>
                  <w:tcW w:w="5038"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p>
              </w:tc>
              <w:tc>
                <w:tcPr>
                  <w:tcW w:w="1970" w:type="dxa"/>
                  <w:vMerge w:val="restart"/>
                  <w:vAlign w:val="center"/>
                  <w:hideMark/>
                </w:tcPr>
                <w:tbl>
                  <w:tblPr>
                    <w:tblW w:w="0" w:type="auto"/>
                    <w:jc w:val="right"/>
                    <w:tblCellSpacing w:w="0" w:type="dxa"/>
                    <w:tblCellMar>
                      <w:left w:w="0" w:type="dxa"/>
                      <w:right w:w="0" w:type="dxa"/>
                    </w:tblCellMar>
                    <w:tblLook w:val="04A0" w:firstRow="1" w:lastRow="0" w:firstColumn="1" w:lastColumn="0" w:noHBand="0" w:noVBand="1"/>
                  </w:tblPr>
                  <w:tblGrid>
                    <w:gridCol w:w="315"/>
                    <w:gridCol w:w="105"/>
                    <w:gridCol w:w="210"/>
                    <w:gridCol w:w="180"/>
                    <w:gridCol w:w="270"/>
                    <w:gridCol w:w="105"/>
                    <w:gridCol w:w="270"/>
                  </w:tblGrid>
                  <w:tr w:rsidR="00BA580F" w:rsidRPr="00BA580F" w:rsidTr="00BA580F">
                    <w:trPr>
                      <w:trHeight w:val="240"/>
                      <w:tblCellSpacing w:w="0" w:type="dxa"/>
                      <w:jc w:val="right"/>
                    </w:trPr>
                    <w:tc>
                      <w:tcPr>
                        <w:tcW w:w="0" w:type="auto"/>
                        <w:gridSpan w:val="3"/>
                        <w:vAlign w:val="center"/>
                      </w:tcPr>
                      <w:p w:rsidR="00BA580F" w:rsidRPr="00BA580F" w:rsidRDefault="00BA580F" w:rsidP="00BA580F">
                        <w:pPr>
                          <w:spacing w:after="0" w:line="240" w:lineRule="auto"/>
                          <w:rPr>
                            <w:rFonts w:ascii="Arial" w:eastAsia="Times New Roman" w:hAnsi="Arial" w:cs="Arial"/>
                            <w:color w:val="666666"/>
                            <w:sz w:val="16"/>
                            <w:szCs w:val="16"/>
                          </w:rPr>
                        </w:pPr>
                      </w:p>
                    </w:tc>
                    <w:tc>
                      <w:tcPr>
                        <w:tcW w:w="0" w:type="auto"/>
                        <w:vAlign w:val="center"/>
                      </w:tcPr>
                      <w:p w:rsidR="00BA580F" w:rsidRPr="00BA580F" w:rsidRDefault="00BA580F" w:rsidP="00BA580F">
                        <w:pPr>
                          <w:spacing w:after="0" w:line="240" w:lineRule="auto"/>
                          <w:rPr>
                            <w:rFonts w:ascii="Times New Roman" w:eastAsia="Times New Roman" w:hAnsi="Times New Roman" w:cs="Times New Roman"/>
                            <w:sz w:val="19"/>
                            <w:szCs w:val="19"/>
                          </w:rPr>
                        </w:pPr>
                      </w:p>
                    </w:tc>
                    <w:tc>
                      <w:tcPr>
                        <w:tcW w:w="240"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color w:val="BE3432"/>
                            <w:sz w:val="19"/>
                            <w:szCs w:val="19"/>
                          </w:rPr>
                          <w:drawing>
                            <wp:inline distT="0" distB="0" distL="0" distR="0" wp14:anchorId="66884DAB" wp14:editId="16189654">
                              <wp:extent cx="133350" cy="133350"/>
                              <wp:effectExtent l="0" t="0" r="0" b="0"/>
                              <wp:docPr id="2" name="Picture 2" descr="http://www.merckmanuals.com/site_images/mm/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merckmanuals.com/site_images/mm/s.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484BDBFF" wp14:editId="2143AA6B">
                              <wp:extent cx="66675" cy="9525"/>
                              <wp:effectExtent l="0" t="0" r="0" b="0"/>
                              <wp:docPr id="3" name="Picture 3"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p>
                    </w:tc>
                  </w:tr>
                  <w:tr w:rsidR="00BA580F" w:rsidRPr="00BA580F">
                    <w:trPr>
                      <w:tblCellSpacing w:w="0" w:type="dxa"/>
                      <w:jc w:val="right"/>
                    </w:trPr>
                    <w:tc>
                      <w:tcPr>
                        <w:tcW w:w="0" w:type="auto"/>
                        <w:tcMar>
                          <w:top w:w="120" w:type="dxa"/>
                          <w:left w:w="0" w:type="dxa"/>
                          <w:bottom w:w="0" w:type="dxa"/>
                          <w:right w:w="0" w:type="dxa"/>
                        </w:tcMar>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Arial" w:eastAsia="Times New Roman" w:hAnsi="Arial" w:cs="Arial"/>
                            <w:noProof/>
                            <w:color w:val="666666"/>
                            <w:sz w:val="19"/>
                            <w:szCs w:val="19"/>
                          </w:rPr>
                          <w:drawing>
                            <wp:inline distT="0" distB="0" distL="0" distR="0" wp14:anchorId="3BED8A1C" wp14:editId="22D839B4">
                              <wp:extent cx="200025" cy="133350"/>
                              <wp:effectExtent l="0" t="0" r="0" b="0"/>
                              <wp:docPr id="4" name="Picture 4" descr="http://www.merckmanuals.com/site_images/mm/s.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merckmanuals.com/site_images/mm/s.gif">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133350"/>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5C2A6696" wp14:editId="61AE6B2C">
                              <wp:extent cx="66675" cy="9525"/>
                              <wp:effectExtent l="0" t="0" r="0" b="0"/>
                              <wp:docPr id="5" name="Picture 5"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Arial" w:eastAsia="Times New Roman" w:hAnsi="Arial" w:cs="Arial"/>
                            <w:color w:val="000000"/>
                            <w:sz w:val="16"/>
                            <w:szCs w:val="16"/>
                          </w:rPr>
                        </w:pPr>
                        <w:r w:rsidRPr="00BA580F">
                          <w:rPr>
                            <w:rFonts w:ascii="Arial" w:eastAsia="Times New Roman" w:hAnsi="Arial" w:cs="Arial"/>
                            <w:noProof/>
                            <w:color w:val="666666"/>
                            <w:sz w:val="16"/>
                            <w:szCs w:val="16"/>
                          </w:rPr>
                          <w:drawing>
                            <wp:inline distT="0" distB="0" distL="0" distR="0" wp14:anchorId="7B525949" wp14:editId="213851B6">
                              <wp:extent cx="133350" cy="333375"/>
                              <wp:effectExtent l="0" t="0" r="0" b="0"/>
                              <wp:docPr id="6" name="Picture 6" descr="http://www.merckmanuals.com/site_images/mm/s.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merckmanuals.com/site_images/mm/s.gif">
                                        <a:hlinkClick r:id="rId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333375"/>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08A38744" wp14:editId="0488EE82">
                              <wp:extent cx="114300" cy="9525"/>
                              <wp:effectExtent l="0" t="0" r="0" b="0"/>
                              <wp:docPr id="7" name="Picture 7"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9525"/>
                                      </a:xfrm>
                                      <a:prstGeom prst="rect">
                                        <a:avLst/>
                                      </a:prstGeom>
                                      <a:noFill/>
                                      <a:ln>
                                        <a:noFill/>
                                      </a:ln>
                                    </pic:spPr>
                                  </pic:pic>
                                </a:graphicData>
                              </a:graphic>
                            </wp:inline>
                          </w:drawing>
                        </w:r>
                      </w:p>
                    </w:tc>
                    <w:tc>
                      <w:tcPr>
                        <w:tcW w:w="270"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color w:val="BE3432"/>
                            <w:sz w:val="19"/>
                            <w:szCs w:val="19"/>
                          </w:rPr>
                          <w:drawing>
                            <wp:inline distT="0" distB="0" distL="0" distR="0" wp14:anchorId="1432AA8D" wp14:editId="76C594F9">
                              <wp:extent cx="133350" cy="133350"/>
                              <wp:effectExtent l="0" t="0" r="0" b="0"/>
                              <wp:docPr id="8" name="Picture 8" descr="http://www.merckmanuals.com/site_images/mm/s.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merckmanuals.com/site_images/mm/s.gif">
                                        <a:hlinkClick r:id="rId9"/>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14F105AD" wp14:editId="7D738301">
                              <wp:extent cx="66675" cy="9525"/>
                              <wp:effectExtent l="0" t="0" r="0" b="0"/>
                              <wp:docPr id="9" name="Picture 9"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p>
                    </w:tc>
                    <w:tc>
                      <w:tcPr>
                        <w:tcW w:w="270"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color w:val="BE3432"/>
                            <w:sz w:val="19"/>
                            <w:szCs w:val="19"/>
                          </w:rPr>
                          <w:drawing>
                            <wp:inline distT="0" distB="0" distL="0" distR="0" wp14:anchorId="5375B04D" wp14:editId="64F96C3D">
                              <wp:extent cx="133350" cy="133350"/>
                              <wp:effectExtent l="0" t="0" r="0" b="0"/>
                              <wp:docPr id="10" name="Picture 10" descr="http://www.merckmanuals.com/site_images/mm/s.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merckmanuals.com/site_images/mm/s.gif">
                                        <a:hlinkClick r:id="rId1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r>
                </w:tbl>
                <w:p w:rsidR="00BA580F" w:rsidRPr="00BA580F" w:rsidRDefault="00BA580F" w:rsidP="00BA580F">
                  <w:pPr>
                    <w:spacing w:after="0" w:line="240" w:lineRule="auto"/>
                    <w:jc w:val="right"/>
                    <w:rPr>
                      <w:rFonts w:ascii="Times New Roman" w:eastAsia="Times New Roman" w:hAnsi="Times New Roman" w:cs="Times New Roman"/>
                      <w:sz w:val="19"/>
                      <w:szCs w:val="19"/>
                    </w:rPr>
                  </w:pPr>
                </w:p>
              </w:tc>
            </w:tr>
            <w:tr w:rsidR="00BA580F" w:rsidRPr="00BA580F" w:rsidTr="00BA580F">
              <w:trPr>
                <w:tblCellSpacing w:w="0" w:type="dxa"/>
              </w:trPr>
              <w:tc>
                <w:tcPr>
                  <w:tcW w:w="5038" w:type="dxa"/>
                  <w:vAlign w:val="center"/>
                  <w:hideMark/>
                </w:tcPr>
                <w:p w:rsidR="00BA580F" w:rsidRDefault="00BA580F" w:rsidP="00BA580F">
                  <w:r w:rsidRPr="00BA580F">
                    <w:rPr>
                      <w:rFonts w:ascii="Times New Roman" w:eastAsia="Times New Roman" w:hAnsi="Times New Roman" w:cs="Times New Roman"/>
                      <w:noProof/>
                      <w:sz w:val="19"/>
                      <w:szCs w:val="19"/>
                    </w:rPr>
                    <w:drawing>
                      <wp:inline distT="0" distB="0" distL="0" distR="0" wp14:anchorId="344D5916" wp14:editId="165F6614">
                        <wp:extent cx="9525" cy="9525"/>
                        <wp:effectExtent l="0" t="0" r="0" b="0"/>
                        <wp:docPr id="11" name="Picture 11"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t xml:space="preserve"> </w:t>
                  </w:r>
                  <w:r>
                    <w:t xml:space="preserve">Students:  After reading this article, paraphrase what the author says about when to see a </w:t>
                  </w:r>
                  <w:r w:rsidR="00A82BDB">
                    <w:t>m</w:t>
                  </w:r>
                  <w:r>
                    <w:t xml:space="preserve">edical </w:t>
                  </w:r>
                  <w:r w:rsidR="00A82BDB">
                    <w:t>d</w:t>
                  </w:r>
                  <w:bookmarkStart w:id="0" w:name="_GoBack"/>
                  <w:bookmarkEnd w:id="0"/>
                  <w:r>
                    <w:t>octor.</w:t>
                  </w:r>
                </w:p>
                <w:p w:rsidR="00BA580F" w:rsidRPr="00BA580F" w:rsidRDefault="00BA580F" w:rsidP="00BA580F">
                  <w:pPr>
                    <w:spacing w:after="0" w:line="240" w:lineRule="auto"/>
                    <w:rPr>
                      <w:rFonts w:eastAsia="Times New Roman" w:cstheme="minorHAnsi"/>
                      <w:sz w:val="24"/>
                      <w:szCs w:val="24"/>
                    </w:rPr>
                  </w:pPr>
                  <w:r w:rsidRPr="003405FD">
                    <w:rPr>
                      <w:rFonts w:eastAsia="Times New Roman" w:cstheme="minorHAnsi"/>
                      <w:sz w:val="24"/>
                      <w:szCs w:val="24"/>
                    </w:rPr>
                    <w:t>WHEN TO SEE A DOCTOR</w:t>
                  </w:r>
                </w:p>
              </w:tc>
              <w:tc>
                <w:tcPr>
                  <w:tcW w:w="0" w:type="auto"/>
                  <w:vMerge/>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p>
              </w:tc>
              <w:tc>
                <w:tcPr>
                  <w:tcW w:w="4710" w:type="dxa"/>
                  <w:vAlign w:val="center"/>
                  <w:hideMark/>
                </w:tcPr>
                <w:p w:rsidR="00BA580F" w:rsidRPr="00BA580F" w:rsidRDefault="00BA580F" w:rsidP="00BA580F">
                  <w:pPr>
                    <w:spacing w:after="0" w:line="300" w:lineRule="atLeast"/>
                    <w:rPr>
                      <w:rFonts w:ascii="Arial" w:eastAsia="Times New Roman" w:hAnsi="Arial" w:cs="Arial"/>
                      <w:sz w:val="17"/>
                      <w:szCs w:val="17"/>
                    </w:rPr>
                  </w:pP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p>
              </w:tc>
            </w:tr>
            <w:tr w:rsidR="00BA580F" w:rsidRPr="00BA580F" w:rsidTr="00BA580F">
              <w:trPr>
                <w:trHeight w:val="15"/>
                <w:tblCellSpacing w:w="0" w:type="dxa"/>
              </w:trPr>
              <w:tc>
                <w:tcPr>
                  <w:tcW w:w="5038"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202480C4" wp14:editId="336CADCE">
                        <wp:extent cx="9525" cy="9525"/>
                        <wp:effectExtent l="0" t="0" r="0" b="0"/>
                        <wp:docPr id="12" name="Picture 12"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6680" w:type="dxa"/>
                  <w:gridSpan w:val="2"/>
                  <w:tcMar>
                    <w:top w:w="0" w:type="dxa"/>
                    <w:left w:w="0" w:type="dxa"/>
                    <w:bottom w:w="240" w:type="dxa"/>
                    <w:right w:w="0" w:type="dxa"/>
                  </w:tcMar>
                  <w:vAlign w:val="center"/>
                  <w:hideMark/>
                </w:tcPr>
                <w:p w:rsidR="00BA580F" w:rsidRPr="00BA580F" w:rsidRDefault="00BA580F" w:rsidP="00BA580F">
                  <w:pPr>
                    <w:spacing w:after="0" w:line="15" w:lineRule="atLeast"/>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6B548011" wp14:editId="23C1E9EA">
                        <wp:extent cx="9525" cy="9525"/>
                        <wp:effectExtent l="0" t="0" r="0" b="0"/>
                        <wp:docPr id="13" name="Picture 13"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BA580F" w:rsidRPr="00BA580F" w:rsidRDefault="00BA580F" w:rsidP="00BA580F">
                  <w:pPr>
                    <w:spacing w:after="0" w:line="240" w:lineRule="auto"/>
                    <w:rPr>
                      <w:rFonts w:ascii="Times New Roman" w:eastAsia="Times New Roman" w:hAnsi="Times New Roman" w:cs="Times New Roman"/>
                      <w:sz w:val="2"/>
                      <w:szCs w:val="19"/>
                    </w:rPr>
                  </w:pPr>
                </w:p>
              </w:tc>
            </w:tr>
          </w:tbl>
          <w:p w:rsidR="00BA580F" w:rsidRPr="00BA580F" w:rsidRDefault="00BA580F" w:rsidP="00BA580F">
            <w:pPr>
              <w:spacing w:after="0" w:line="240" w:lineRule="auto"/>
              <w:rPr>
                <w:rFonts w:ascii="Arial" w:eastAsia="Times New Roman" w:hAnsi="Arial" w:cs="Arial"/>
                <w:sz w:val="19"/>
                <w:szCs w:val="19"/>
              </w:rPr>
            </w:pPr>
          </w:p>
        </w:tc>
      </w:tr>
      <w:tr w:rsidR="00BA580F" w:rsidRPr="00BA580F" w:rsidTr="00BA580F">
        <w:trPr>
          <w:tblCellSpacing w:w="0" w:type="dxa"/>
        </w:trPr>
        <w:tc>
          <w:tcPr>
            <w:tcW w:w="0" w:type="auto"/>
            <w:shd w:val="clear" w:color="auto" w:fill="FFFFFF"/>
            <w:tcMar>
              <w:top w:w="210" w:type="dxa"/>
              <w:left w:w="0" w:type="dxa"/>
              <w:bottom w:w="0" w:type="dxa"/>
              <w:right w:w="0"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240"/>
              <w:gridCol w:w="8145"/>
            </w:tblGrid>
            <w:tr w:rsidR="00BA580F" w:rsidRPr="00BA580F">
              <w:trPr>
                <w:tblCellSpacing w:w="0" w:type="dxa"/>
              </w:trPr>
              <w:tc>
                <w:tcPr>
                  <w:tcW w:w="240" w:type="dxa"/>
                  <w:vAlign w:val="center"/>
                  <w:hideMark/>
                </w:tcPr>
                <w:p w:rsidR="00BA580F" w:rsidRPr="00BA580F" w:rsidRDefault="00BA580F" w:rsidP="00BA580F">
                  <w:pPr>
                    <w:spacing w:after="0" w:line="240" w:lineRule="auto"/>
                    <w:rPr>
                      <w:rFonts w:ascii="Times New Roman" w:eastAsia="Times New Roman" w:hAnsi="Times New Roman" w:cs="Times New Roman"/>
                      <w:sz w:val="19"/>
                      <w:szCs w:val="19"/>
                    </w:rPr>
                  </w:pPr>
                  <w:r w:rsidRPr="00BA580F">
                    <w:rPr>
                      <w:rFonts w:ascii="Times New Roman" w:eastAsia="Times New Roman" w:hAnsi="Times New Roman" w:cs="Times New Roman"/>
                      <w:noProof/>
                      <w:sz w:val="19"/>
                      <w:szCs w:val="19"/>
                    </w:rPr>
                    <w:drawing>
                      <wp:inline distT="0" distB="0" distL="0" distR="0" wp14:anchorId="3A360487" wp14:editId="4558868F">
                        <wp:extent cx="152400" cy="9525"/>
                        <wp:effectExtent l="0" t="0" r="0" b="0"/>
                        <wp:docPr id="14" name="Picture 14" descr="http://www.merckmanuals.com/site_images/m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merckmanuals.com/site_images/mm/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p>
              </w:tc>
              <w:tc>
                <w:tcPr>
                  <w:tcW w:w="8145" w:type="dxa"/>
                  <w:hideMark/>
                </w:tcPr>
                <w:p w:rsidR="00BA580F" w:rsidRPr="00BA580F" w:rsidRDefault="00BA580F" w:rsidP="00BA580F">
                  <w:pPr>
                    <w:spacing w:after="288" w:line="336" w:lineRule="atLeast"/>
                    <w:rPr>
                      <w:rFonts w:ascii="Arial" w:eastAsia="Times New Roman" w:hAnsi="Arial" w:cs="Arial"/>
                      <w:color w:val="000000"/>
                      <w:sz w:val="19"/>
                      <w:szCs w:val="19"/>
                    </w:rPr>
                  </w:pPr>
                  <w:bookmarkStart w:id="1" w:name="v711902"/>
                  <w:bookmarkStart w:id="2" w:name="v711901"/>
                  <w:bookmarkStart w:id="3" w:name="v711893"/>
                  <w:bookmarkEnd w:id="1"/>
                  <w:bookmarkEnd w:id="2"/>
                  <w:bookmarkEnd w:id="3"/>
                  <w:r w:rsidRPr="00BA580F">
                    <w:rPr>
                      <w:rFonts w:ascii="Arial" w:eastAsia="Times New Roman" w:hAnsi="Arial" w:cs="Arial"/>
                      <w:b/>
                      <w:bCs/>
                      <w:i/>
                      <w:iCs/>
                      <w:color w:val="000000"/>
                      <w:sz w:val="19"/>
                      <w:szCs w:val="19"/>
                    </w:rPr>
                    <w:t>Routine Visits: </w:t>
                  </w:r>
                  <w:r w:rsidRPr="00BA580F">
                    <w:rPr>
                      <w:rFonts w:ascii="Arial" w:eastAsia="Times New Roman" w:hAnsi="Arial" w:cs="Arial"/>
                      <w:color w:val="000000"/>
                      <w:sz w:val="19"/>
                      <w:szCs w:val="19"/>
                    </w:rPr>
                    <w:t>Generally, everyone should routinely see their doctor, dentist, and eye doctor for preventive care. Women should routinely see their primary care doctor or gynecologist for gynecologic examinations. People can obtain a schedule of what type of care is required and how often visits are needed from their primary care doctor. Usually, infants and older people need more frequent preventive visits, but frequency also depends on a person's health conditions. For example, a person with diabetes or a heart disorder (or risk factors for them) may need to have checkups relatively frequently.</w:t>
                  </w:r>
                </w:p>
                <w:p w:rsidR="00BA580F" w:rsidRPr="00BA580F" w:rsidRDefault="00BA580F" w:rsidP="00BA580F">
                  <w:pPr>
                    <w:spacing w:after="288" w:line="336" w:lineRule="atLeast"/>
                    <w:rPr>
                      <w:rFonts w:ascii="Arial" w:eastAsia="Times New Roman" w:hAnsi="Arial" w:cs="Arial"/>
                      <w:color w:val="000000"/>
                      <w:sz w:val="19"/>
                      <w:szCs w:val="19"/>
                    </w:rPr>
                  </w:pPr>
                  <w:bookmarkStart w:id="4" w:name="v711906"/>
                  <w:bookmarkStart w:id="5" w:name="v711905"/>
                  <w:bookmarkEnd w:id="4"/>
                  <w:bookmarkEnd w:id="5"/>
                  <w:r w:rsidRPr="00BA580F">
                    <w:rPr>
                      <w:rFonts w:ascii="Arial" w:eastAsia="Times New Roman" w:hAnsi="Arial" w:cs="Arial"/>
                      <w:b/>
                      <w:bCs/>
                      <w:i/>
                      <w:iCs/>
                      <w:color w:val="000000"/>
                      <w:sz w:val="19"/>
                      <w:szCs w:val="19"/>
                    </w:rPr>
                    <w:t>Visits for a Problem: </w:t>
                  </w:r>
                  <w:r w:rsidRPr="00BA580F">
                    <w:rPr>
                      <w:rFonts w:ascii="Arial" w:eastAsia="Times New Roman" w:hAnsi="Arial" w:cs="Arial"/>
                      <w:color w:val="000000"/>
                      <w:sz w:val="19"/>
                      <w:szCs w:val="19"/>
                    </w:rPr>
                    <w:t>When symptoms or other medical problems develop between preventive visits, people may be unsure whether they need to see a doctor. Many symptoms and problems can be handled at home. For example, most routine colds do not require a doctor's attention. Many small cuts and abrasions can be handled by first cleaning them with mild soap and water, then applying an antibiotic ointment and a protective covering (see </w:t>
                  </w:r>
                  <w:hyperlink r:id="rId11" w:anchor="v829545" w:history="1">
                    <w:r w:rsidRPr="00BA580F">
                      <w:rPr>
                        <w:rFonts w:ascii="Arial" w:eastAsia="Times New Roman" w:hAnsi="Arial" w:cs="Arial"/>
                        <w:color w:val="BE3432"/>
                        <w:sz w:val="17"/>
                        <w:szCs w:val="17"/>
                        <w:u w:val="single"/>
                      </w:rPr>
                      <w:t>First Aid: First-Aid Treatment</w:t>
                    </w:r>
                  </w:hyperlink>
                  <w:r w:rsidRPr="00BA580F">
                    <w:rPr>
                      <w:rFonts w:ascii="Arial" w:eastAsia="Times New Roman" w:hAnsi="Arial" w:cs="Arial"/>
                      <w:color w:val="000000"/>
                      <w:sz w:val="19"/>
                      <w:szCs w:val="19"/>
                    </w:rPr>
                    <w:t>).</w:t>
                  </w:r>
                </w:p>
                <w:p w:rsidR="00BA580F" w:rsidRPr="00BA580F" w:rsidRDefault="00BA580F" w:rsidP="00BA580F">
                  <w:pPr>
                    <w:spacing w:after="288" w:line="336" w:lineRule="atLeast"/>
                    <w:rPr>
                      <w:rFonts w:ascii="Arial" w:eastAsia="Times New Roman" w:hAnsi="Arial" w:cs="Arial"/>
                      <w:color w:val="000000"/>
                      <w:sz w:val="19"/>
                      <w:szCs w:val="19"/>
                    </w:rPr>
                  </w:pPr>
                  <w:bookmarkStart w:id="6" w:name="v711908"/>
                  <w:bookmarkEnd w:id="6"/>
                  <w:r w:rsidRPr="00BA580F">
                    <w:rPr>
                      <w:rFonts w:ascii="Arial" w:eastAsia="Times New Roman" w:hAnsi="Arial" w:cs="Arial"/>
                      <w:color w:val="000000"/>
                      <w:sz w:val="19"/>
                      <w:szCs w:val="19"/>
                    </w:rPr>
                    <w:t>People with certain disorders should see a doctor sooner rather than later when new symptoms develop. For example, if people with a chronic lung disorder (such as asthma or chronic obstructive pulmonary disease) begin to have difficulty breathing or if people with a weakened immune system get a fever, they should see a doctor promptly. The immune system may be weakened by diabetes, human immunodeficiency virus (HIV) infection, use of chemotherapy drugs, or other conditions.</w:t>
                  </w:r>
                </w:p>
                <w:p w:rsidR="00BA580F" w:rsidRPr="00BA580F" w:rsidRDefault="00BA580F" w:rsidP="00BA580F">
                  <w:pPr>
                    <w:spacing w:after="288" w:line="336" w:lineRule="atLeast"/>
                    <w:rPr>
                      <w:rFonts w:ascii="Arial" w:eastAsia="Times New Roman" w:hAnsi="Arial" w:cs="Arial"/>
                      <w:color w:val="000000"/>
                      <w:sz w:val="19"/>
                      <w:szCs w:val="19"/>
                    </w:rPr>
                  </w:pPr>
                  <w:bookmarkStart w:id="7" w:name="v711909"/>
                  <w:bookmarkEnd w:id="7"/>
                  <w:r w:rsidRPr="00BA580F">
                    <w:rPr>
                      <w:rFonts w:ascii="Arial" w:eastAsia="Times New Roman" w:hAnsi="Arial" w:cs="Arial"/>
                      <w:color w:val="000000"/>
                      <w:sz w:val="19"/>
                      <w:szCs w:val="19"/>
                    </w:rPr>
                    <w:t>When unsure about the need to see a doctor or other practitioner, people can sometimes call their primary care doctor for guidance. Some doctors can be contacted by e-mail for nonemergency questions. Others prefer to be contacted by telephone. Doctors cannot give set guidelines for when to see a doctor and when it is unnecessary because symptoms with the same cause vary too much and symptoms with different causes overlap too much. However, some problems clearly require a call to a health care practitioner.</w:t>
                  </w:r>
                </w:p>
              </w:tc>
            </w:tr>
          </w:tbl>
          <w:p w:rsidR="00BA580F" w:rsidRPr="00BA580F" w:rsidRDefault="00BA580F" w:rsidP="00BA580F">
            <w:pPr>
              <w:spacing w:after="0" w:line="240" w:lineRule="auto"/>
              <w:rPr>
                <w:rFonts w:ascii="Arial" w:eastAsia="Times New Roman" w:hAnsi="Arial" w:cs="Arial"/>
                <w:sz w:val="19"/>
                <w:szCs w:val="19"/>
              </w:rPr>
            </w:pPr>
          </w:p>
        </w:tc>
      </w:tr>
    </w:tbl>
    <w:p w:rsidR="007A7F91" w:rsidRDefault="00BA580F">
      <w:r>
        <w:rPr>
          <w:noProof/>
        </w:rPr>
        <w:drawing>
          <wp:inline distT="0" distB="0" distL="0" distR="0" wp14:anchorId="44839F4D" wp14:editId="08833307">
            <wp:extent cx="5943600" cy="615255"/>
            <wp:effectExtent l="0" t="0" r="0" b="0"/>
            <wp:docPr id="15" name="Picture 15" descr="http://www.merckmanuals.com/site_images/mm/header_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merckmanuals.com/site_images/mm/header_home.jpg"/>
                    <pic:cNvPicPr>
                      <a:picLocks noChangeAspect="1" noChangeArrowheads="1"/>
                    </pic:cNvPicPr>
                  </pic:nvPicPr>
                  <pic:blipFill>
                    <a:blip r:embed="rId12">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943600" cy="615255"/>
                    </a:xfrm>
                    <a:prstGeom prst="rect">
                      <a:avLst/>
                    </a:prstGeom>
                    <a:noFill/>
                    <a:ln>
                      <a:noFill/>
                    </a:ln>
                  </pic:spPr>
                </pic:pic>
              </a:graphicData>
            </a:graphic>
          </wp:inline>
        </w:drawing>
      </w:r>
    </w:p>
    <w:p w:rsidR="00BA580F" w:rsidRDefault="00BA580F"/>
    <w:sectPr w:rsidR="00BA5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80F"/>
    <w:rsid w:val="00077422"/>
    <w:rsid w:val="003405FD"/>
    <w:rsid w:val="006005EA"/>
    <w:rsid w:val="00A82BDB"/>
    <w:rsid w:val="00BA580F"/>
    <w:rsid w:val="00ED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8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4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ckmanuals.com/home/print/fundamentals/making_the_most_of_health_care/when_to_see_a_doctor.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rckmanuals.com/home/email_link.html?uri=/fundamentals/making_the_most_of_health_care/when_to_see_a_doctor.html&amp;section=Fundamentals&amp;chapter=Making%20the%20Most%20of%20Health%20Care&amp;topic=When%20to%20See%20a%20Doctor&amp;fsection=Fundamentals&amp;fchapter=Making%20the%20Most%20of%20Health%20Care&amp;ftopic=When%20to%20See%20a%20Doctor" TargetMode="External"/><Relationship Id="rId12"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merckmanuals.com/home/injuries_and_poisoning/first_aid/wounds.html" TargetMode="External"/><Relationship Id="rId5" Type="http://schemas.openxmlformats.org/officeDocument/2006/relationships/hyperlink" Target="http://www.facebook.com/share.php?u=http://www.merckmanuals.com/home/fundamentals/making_the_most_of_health_care/when_to_see_a_doctor.html" TargetMode="External"/><Relationship Id="rId10" Type="http://schemas.openxmlformats.org/officeDocument/2006/relationships/hyperlink" Target="http://www.linkedin.com/shareArticle?mini=true&amp;url=http://www.merckmanuals.com/home/fundamentals/making_the_most_of_health_care/when_to_see_a_doctor.html&amp;title=When%20to%20See%20a%20Doctor&amp;source=Merck%20Manuals" TargetMode="External"/><Relationship Id="rId4" Type="http://schemas.openxmlformats.org/officeDocument/2006/relationships/webSettings" Target="webSettings.xml"/><Relationship Id="rId9" Type="http://schemas.openxmlformats.org/officeDocument/2006/relationships/hyperlink" Target="http://twitter.com/share?url=http://www.merckmanuals.com/home/fundamentals/making_the_most_of_health_care/when_to_see_a_doctor.html?tag=twitter&amp;via=Merck%20Manuals&amp;text=When%20to%20See%20a%20Doct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Susan H Holland</cp:lastModifiedBy>
  <cp:revision>3</cp:revision>
  <dcterms:created xsi:type="dcterms:W3CDTF">2013-03-24T18:54:00Z</dcterms:created>
  <dcterms:modified xsi:type="dcterms:W3CDTF">2013-03-24T19:13:00Z</dcterms:modified>
</cp:coreProperties>
</file>