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23D7D" w:rsidRDefault="00023D7D" w:rsidP="00023D7D">
            <w:pPr>
              <w:autoSpaceDE w:val="0"/>
              <w:autoSpaceDN w:val="0"/>
              <w:adjustRightInd w:val="0"/>
              <w:spacing w:after="0" w:line="240" w:lineRule="auto"/>
              <w:rPr>
                <w:rFonts w:cs="Tahoma"/>
              </w:rPr>
            </w:pPr>
            <w:r w:rsidRPr="00461AF3">
              <w:rPr>
                <w:rFonts w:cs="Tahoma"/>
              </w:rPr>
              <w:t xml:space="preserve">The Greenhouse Operation and Management course develops a basic understanding of greenhouse techniques. The production of greenhouse crops will be used to demonstrate procedures such as plants started from cuttings, seeds, grafts, and layering. Students will manage their own crop as a greenhouse project. (CD 016765, CIP 01.0604) </w:t>
            </w:r>
          </w:p>
          <w:p w:rsidR="00023D7D" w:rsidRDefault="00023D7D" w:rsidP="00023D7D">
            <w:pPr>
              <w:autoSpaceDE w:val="0"/>
              <w:autoSpaceDN w:val="0"/>
              <w:adjustRightInd w:val="0"/>
              <w:spacing w:after="0" w:line="240" w:lineRule="auto"/>
              <w:rPr>
                <w:rFonts w:cs="Tahoma"/>
              </w:rPr>
            </w:pPr>
          </w:p>
          <w:p w:rsidR="00023D7D" w:rsidRPr="00461AF3" w:rsidRDefault="00023D7D" w:rsidP="00023D7D">
            <w:pPr>
              <w:autoSpaceDE w:val="0"/>
              <w:autoSpaceDN w:val="0"/>
              <w:adjustRightInd w:val="0"/>
              <w:spacing w:after="0" w:line="240" w:lineRule="auto"/>
              <w:rPr>
                <w:rFonts w:cs="Tahoma"/>
              </w:rPr>
            </w:pPr>
            <w:r w:rsidRPr="00461AF3">
              <w:rPr>
                <w:rFonts w:cs="Tahoma"/>
              </w:rPr>
              <w:t>Course Rationale – Agriculture encompasses the food, fiber, conservation and natural resource systems, employing over 20% of the nation’s workforce. Cutting, seeding, grafting, layering, and management of a greenhouse provide entry level and entrepreneurial opportunities for students with an interest in horticulture.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994"/>
        <w:gridCol w:w="2584"/>
        <w:gridCol w:w="203"/>
        <w:gridCol w:w="1144"/>
        <w:gridCol w:w="689"/>
        <w:gridCol w:w="1358"/>
        <w:gridCol w:w="1571"/>
        <w:gridCol w:w="805"/>
      </w:tblGrid>
      <w:tr w:rsidR="00DD40DF" w:rsidRPr="00DD40DF" w:rsidTr="00D611DE">
        <w:tc>
          <w:tcPr>
            <w:tcW w:w="7406"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921537" w:rsidP="00921537">
            <w:pPr>
              <w:spacing w:line="240" w:lineRule="auto"/>
              <w:rPr>
                <w:b/>
              </w:rPr>
            </w:pPr>
            <w:r>
              <w:t>This unit allows students to explore career path opportunities in the greenhouse industry.</w:t>
            </w:r>
          </w:p>
        </w:tc>
        <w:tc>
          <w:tcPr>
            <w:tcW w:w="5770"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063927">
              <w:rPr>
                <w:b/>
              </w:rPr>
              <w:t>5 Days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063927" w:rsidRPr="00A538A0" w:rsidRDefault="00063927" w:rsidP="00063927">
            <w:pPr>
              <w:spacing w:line="240" w:lineRule="auto"/>
            </w:pPr>
            <w:r w:rsidRPr="00A538A0">
              <w:t>1.  What are possible careers in the greenhouse industry?</w:t>
            </w:r>
          </w:p>
          <w:p w:rsidR="00DD40DF" w:rsidRPr="00C44E14" w:rsidRDefault="00063927" w:rsidP="00063927">
            <w:pPr>
              <w:spacing w:line="240" w:lineRule="auto"/>
              <w:rPr>
                <w:b/>
              </w:rPr>
            </w:pPr>
            <w:r w:rsidRPr="00A538A0">
              <w:t>2.  What is the impact of the greenhouse industry?</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D611DE">
        <w:trPr>
          <w:trHeight w:val="467"/>
        </w:trPr>
        <w:tc>
          <w:tcPr>
            <w:tcW w:w="4822"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67" w:type="dxa"/>
            <w:gridSpan w:val="5"/>
          </w:tcPr>
          <w:p w:rsidR="008322A8" w:rsidRPr="00C44E14" w:rsidRDefault="008322A8" w:rsidP="00C44E14">
            <w:pPr>
              <w:spacing w:line="240" w:lineRule="auto"/>
              <w:jc w:val="center"/>
              <w:rPr>
                <w:b/>
              </w:rPr>
            </w:pPr>
            <w:r w:rsidRPr="00C44E14">
              <w:rPr>
                <w:b/>
              </w:rPr>
              <w:t>CROSSWALK TO STANDARDS</w:t>
            </w:r>
          </w:p>
        </w:tc>
      </w:tr>
      <w:tr w:rsidR="00321BC1" w:rsidTr="00D611DE">
        <w:trPr>
          <w:trHeight w:val="466"/>
        </w:trPr>
        <w:tc>
          <w:tcPr>
            <w:tcW w:w="4822" w:type="dxa"/>
            <w:gridSpan w:val="2"/>
            <w:vMerge/>
          </w:tcPr>
          <w:p w:rsidR="00321BC1" w:rsidRPr="00C44E14" w:rsidRDefault="00321BC1" w:rsidP="00C44E14">
            <w:pPr>
              <w:spacing w:line="240" w:lineRule="auto"/>
              <w:jc w:val="center"/>
              <w:rPr>
                <w:b/>
              </w:rPr>
            </w:pPr>
          </w:p>
        </w:tc>
        <w:tc>
          <w:tcPr>
            <w:tcW w:w="2787"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9" w:type="dxa"/>
            <w:shd w:val="clear" w:color="auto" w:fill="auto"/>
          </w:tcPr>
          <w:p w:rsidR="00321BC1" w:rsidRPr="00C44E14" w:rsidRDefault="00321BC1" w:rsidP="00C44E14">
            <w:pPr>
              <w:spacing w:line="240" w:lineRule="auto"/>
              <w:jc w:val="center"/>
              <w:rPr>
                <w:b/>
              </w:rPr>
            </w:pPr>
            <w:r w:rsidRPr="00C44E14">
              <w:rPr>
                <w:b/>
              </w:rPr>
              <w:t>PS</w:t>
            </w:r>
          </w:p>
        </w:tc>
        <w:tc>
          <w:tcPr>
            <w:tcW w:w="1358" w:type="dxa"/>
          </w:tcPr>
          <w:p w:rsidR="00321BC1" w:rsidRPr="00C44E14" w:rsidRDefault="00321BC1" w:rsidP="00C44E14">
            <w:pPr>
              <w:spacing w:line="240" w:lineRule="auto"/>
              <w:jc w:val="center"/>
              <w:rPr>
                <w:b/>
              </w:rPr>
            </w:pPr>
            <w:r w:rsidRPr="00C44E14">
              <w:rPr>
                <w:b/>
              </w:rPr>
              <w:t>CCSS</w:t>
            </w:r>
          </w:p>
        </w:tc>
        <w:tc>
          <w:tcPr>
            <w:tcW w:w="1571" w:type="dxa"/>
          </w:tcPr>
          <w:p w:rsidR="00321BC1" w:rsidRPr="00C44E14" w:rsidRDefault="005E609D" w:rsidP="00C44E14">
            <w:pPr>
              <w:spacing w:line="240" w:lineRule="auto"/>
              <w:jc w:val="center"/>
              <w:rPr>
                <w:b/>
              </w:rPr>
            </w:pPr>
            <w:r>
              <w:rPr>
                <w:b/>
              </w:rPr>
              <w:t>AFNR Standards</w:t>
            </w:r>
          </w:p>
        </w:tc>
        <w:tc>
          <w:tcPr>
            <w:tcW w:w="805" w:type="dxa"/>
          </w:tcPr>
          <w:p w:rsidR="00321BC1" w:rsidRPr="00C44E14" w:rsidRDefault="00321BC1" w:rsidP="00C44E14">
            <w:pPr>
              <w:spacing w:line="240" w:lineRule="auto"/>
              <w:jc w:val="center"/>
              <w:rPr>
                <w:b/>
              </w:rPr>
            </w:pPr>
            <w:r w:rsidRPr="00C44E14">
              <w:rPr>
                <w:b/>
              </w:rPr>
              <w:t>DOK</w:t>
            </w:r>
          </w:p>
        </w:tc>
      </w:tr>
      <w:tr w:rsidR="005E609D" w:rsidTr="00D611DE">
        <w:trPr>
          <w:trHeight w:val="466"/>
        </w:trPr>
        <w:tc>
          <w:tcPr>
            <w:tcW w:w="4822" w:type="dxa"/>
            <w:gridSpan w:val="2"/>
          </w:tcPr>
          <w:p w:rsidR="005E609D" w:rsidRPr="00063927" w:rsidRDefault="005E609D" w:rsidP="00063927">
            <w:pPr>
              <w:pStyle w:val="ListParagraph"/>
              <w:numPr>
                <w:ilvl w:val="0"/>
                <w:numId w:val="18"/>
              </w:numPr>
              <w:spacing w:after="0" w:line="240" w:lineRule="auto"/>
              <w:rPr>
                <w:rFonts w:ascii="Times New Roman" w:hAnsi="Times New Roman"/>
                <w:b/>
              </w:rPr>
            </w:pPr>
            <w:r w:rsidRPr="00063927">
              <w:rPr>
                <w:rFonts w:ascii="Times New Roman" w:hAnsi="Times New Roman"/>
                <w:szCs w:val="20"/>
              </w:rPr>
              <w:t>Identify the scope and development of the greenhouse industry</w:t>
            </w:r>
          </w:p>
        </w:tc>
        <w:tc>
          <w:tcPr>
            <w:tcW w:w="2787" w:type="dxa"/>
            <w:gridSpan w:val="2"/>
          </w:tcPr>
          <w:p w:rsidR="005E609D" w:rsidRPr="00C44E14" w:rsidRDefault="005E609D" w:rsidP="005A0F5D">
            <w:pPr>
              <w:spacing w:after="0" w:line="240" w:lineRule="auto"/>
              <w:rPr>
                <w:b/>
              </w:rPr>
            </w:pPr>
          </w:p>
        </w:tc>
        <w:tc>
          <w:tcPr>
            <w:tcW w:w="1144" w:type="dxa"/>
            <w:shd w:val="clear" w:color="auto" w:fill="auto"/>
          </w:tcPr>
          <w:p w:rsidR="005E609D" w:rsidRPr="00C44E14" w:rsidRDefault="005E609D" w:rsidP="005A0F5D">
            <w:pPr>
              <w:spacing w:after="0" w:line="240" w:lineRule="auto"/>
              <w:rPr>
                <w:b/>
              </w:rPr>
            </w:pPr>
          </w:p>
        </w:tc>
        <w:tc>
          <w:tcPr>
            <w:tcW w:w="689" w:type="dxa"/>
            <w:shd w:val="clear" w:color="auto" w:fill="auto"/>
          </w:tcPr>
          <w:p w:rsidR="005E609D" w:rsidRPr="00C44E14" w:rsidRDefault="005E609D" w:rsidP="005A0F5D">
            <w:pPr>
              <w:spacing w:after="0" w:line="240" w:lineRule="auto"/>
              <w:rPr>
                <w:b/>
              </w:rPr>
            </w:pPr>
          </w:p>
        </w:tc>
        <w:tc>
          <w:tcPr>
            <w:tcW w:w="1358" w:type="dxa"/>
            <w:shd w:val="clear" w:color="auto" w:fill="auto"/>
          </w:tcPr>
          <w:p w:rsidR="005E609D" w:rsidRPr="00EA527F" w:rsidRDefault="005E609D" w:rsidP="001412E4">
            <w:pPr>
              <w:spacing w:after="0" w:line="240" w:lineRule="auto"/>
              <w:jc w:val="center"/>
            </w:pPr>
            <w:r w:rsidRPr="00EA527F">
              <w:t>RI11-12.1</w:t>
            </w:r>
          </w:p>
          <w:p w:rsidR="005E609D" w:rsidRPr="00EA527F" w:rsidRDefault="005E609D" w:rsidP="001412E4">
            <w:pPr>
              <w:spacing w:after="0" w:line="240" w:lineRule="auto"/>
              <w:jc w:val="center"/>
            </w:pPr>
            <w:r w:rsidRPr="00EA527F">
              <w:t>RI11-12.2</w:t>
            </w:r>
          </w:p>
          <w:p w:rsidR="005E609D" w:rsidRPr="00EA527F" w:rsidRDefault="005E609D" w:rsidP="001412E4">
            <w:pPr>
              <w:spacing w:after="0" w:line="240" w:lineRule="auto"/>
              <w:jc w:val="center"/>
            </w:pPr>
            <w:r w:rsidRPr="00EA527F">
              <w:t>RI11-12.3</w:t>
            </w:r>
          </w:p>
        </w:tc>
        <w:tc>
          <w:tcPr>
            <w:tcW w:w="1571" w:type="dxa"/>
            <w:shd w:val="clear" w:color="auto" w:fill="auto"/>
          </w:tcPr>
          <w:p w:rsidR="005E609D" w:rsidRPr="00EA527F" w:rsidRDefault="005E609D" w:rsidP="001412E4">
            <w:pPr>
              <w:spacing w:after="0" w:line="240" w:lineRule="auto"/>
              <w:jc w:val="center"/>
            </w:pPr>
            <w:r w:rsidRPr="00EA527F">
              <w:t>ABS.01.01.01.b</w:t>
            </w:r>
          </w:p>
        </w:tc>
        <w:tc>
          <w:tcPr>
            <w:tcW w:w="805" w:type="dxa"/>
            <w:shd w:val="clear" w:color="auto" w:fill="auto"/>
          </w:tcPr>
          <w:p w:rsidR="005E609D" w:rsidRPr="00EA527F" w:rsidRDefault="005E609D" w:rsidP="001412E4">
            <w:pPr>
              <w:spacing w:after="0" w:line="240" w:lineRule="auto"/>
              <w:jc w:val="center"/>
            </w:pPr>
            <w:r w:rsidRPr="00EA527F">
              <w:t>1</w:t>
            </w:r>
          </w:p>
        </w:tc>
      </w:tr>
      <w:tr w:rsidR="005E609D" w:rsidTr="00D611DE">
        <w:trPr>
          <w:trHeight w:val="466"/>
        </w:trPr>
        <w:tc>
          <w:tcPr>
            <w:tcW w:w="4822" w:type="dxa"/>
            <w:gridSpan w:val="2"/>
          </w:tcPr>
          <w:p w:rsidR="005E609D" w:rsidRPr="00063927" w:rsidRDefault="005E609D" w:rsidP="00063927">
            <w:pPr>
              <w:pStyle w:val="ListParagraph"/>
              <w:numPr>
                <w:ilvl w:val="0"/>
                <w:numId w:val="18"/>
              </w:numPr>
              <w:spacing w:after="0" w:line="240" w:lineRule="auto"/>
              <w:rPr>
                <w:rFonts w:ascii="Times New Roman" w:hAnsi="Times New Roman"/>
                <w:szCs w:val="20"/>
              </w:rPr>
            </w:pPr>
            <w:r w:rsidRPr="00063927">
              <w:rPr>
                <w:rFonts w:ascii="Times New Roman" w:hAnsi="Times New Roman"/>
                <w:szCs w:val="20"/>
              </w:rPr>
              <w:t>Outline career paths and SAE (Supervised Agricultural Experience) opportunities available in the greenhouse industry.</w:t>
            </w:r>
          </w:p>
        </w:tc>
        <w:tc>
          <w:tcPr>
            <w:tcW w:w="2787" w:type="dxa"/>
            <w:gridSpan w:val="2"/>
          </w:tcPr>
          <w:p w:rsidR="005E609D" w:rsidRPr="00C44E14" w:rsidRDefault="005E609D" w:rsidP="005A0F5D">
            <w:pPr>
              <w:spacing w:after="0" w:line="240" w:lineRule="auto"/>
              <w:rPr>
                <w:b/>
              </w:rPr>
            </w:pPr>
            <w:bookmarkStart w:id="0" w:name="_GoBack"/>
            <w:bookmarkEnd w:id="0"/>
          </w:p>
        </w:tc>
        <w:tc>
          <w:tcPr>
            <w:tcW w:w="1144" w:type="dxa"/>
            <w:shd w:val="clear" w:color="auto" w:fill="auto"/>
          </w:tcPr>
          <w:p w:rsidR="005E609D" w:rsidRPr="00C44E14" w:rsidRDefault="005E609D" w:rsidP="005A0F5D">
            <w:pPr>
              <w:spacing w:after="0" w:line="240" w:lineRule="auto"/>
              <w:rPr>
                <w:b/>
              </w:rPr>
            </w:pPr>
          </w:p>
        </w:tc>
        <w:tc>
          <w:tcPr>
            <w:tcW w:w="689" w:type="dxa"/>
            <w:shd w:val="clear" w:color="auto" w:fill="auto"/>
          </w:tcPr>
          <w:p w:rsidR="005E609D" w:rsidRPr="00C44E14" w:rsidRDefault="005E609D" w:rsidP="005A0F5D">
            <w:pPr>
              <w:spacing w:after="0" w:line="240" w:lineRule="auto"/>
              <w:rPr>
                <w:b/>
              </w:rPr>
            </w:pPr>
          </w:p>
        </w:tc>
        <w:tc>
          <w:tcPr>
            <w:tcW w:w="1358" w:type="dxa"/>
            <w:shd w:val="clear" w:color="auto" w:fill="auto"/>
          </w:tcPr>
          <w:p w:rsidR="005E609D" w:rsidRPr="00E11631" w:rsidRDefault="005E609D" w:rsidP="001412E4">
            <w:pPr>
              <w:spacing w:after="0" w:line="240" w:lineRule="auto"/>
              <w:jc w:val="center"/>
            </w:pPr>
            <w:r w:rsidRPr="00E11631">
              <w:t>RI11-12.7</w:t>
            </w:r>
          </w:p>
          <w:p w:rsidR="005E609D" w:rsidRPr="00E11631" w:rsidRDefault="005E609D" w:rsidP="001412E4">
            <w:pPr>
              <w:spacing w:after="0" w:line="240" w:lineRule="auto"/>
              <w:jc w:val="center"/>
            </w:pPr>
            <w:r w:rsidRPr="00E11631">
              <w:t>RH11-12.7</w:t>
            </w:r>
          </w:p>
        </w:tc>
        <w:tc>
          <w:tcPr>
            <w:tcW w:w="1571" w:type="dxa"/>
            <w:shd w:val="clear" w:color="auto" w:fill="auto"/>
          </w:tcPr>
          <w:p w:rsidR="005E609D" w:rsidRPr="00EA527F" w:rsidRDefault="005E609D" w:rsidP="001412E4">
            <w:pPr>
              <w:spacing w:after="0" w:line="240" w:lineRule="auto"/>
              <w:jc w:val="center"/>
            </w:pPr>
            <w:r w:rsidRPr="00EA527F">
              <w:t>CS.02.03.01.a</w:t>
            </w:r>
          </w:p>
          <w:p w:rsidR="005E609D" w:rsidRPr="00EA527F" w:rsidRDefault="005E609D" w:rsidP="001412E4">
            <w:pPr>
              <w:spacing w:after="0" w:line="240" w:lineRule="auto"/>
              <w:jc w:val="center"/>
            </w:pPr>
            <w:r w:rsidRPr="00EA527F">
              <w:t>CS.02.03.03.a</w:t>
            </w:r>
          </w:p>
          <w:p w:rsidR="005E609D" w:rsidRPr="00EA527F" w:rsidRDefault="005E609D" w:rsidP="001412E4">
            <w:pPr>
              <w:spacing w:after="0" w:line="240" w:lineRule="auto"/>
              <w:jc w:val="center"/>
            </w:pPr>
            <w:r w:rsidRPr="00EA527F">
              <w:t>CS.02.03.01.b</w:t>
            </w:r>
          </w:p>
          <w:p w:rsidR="005E609D" w:rsidRPr="00EA527F" w:rsidRDefault="005E609D" w:rsidP="001412E4">
            <w:pPr>
              <w:spacing w:after="0" w:line="240" w:lineRule="auto"/>
              <w:jc w:val="center"/>
            </w:pPr>
            <w:r w:rsidRPr="00EA527F">
              <w:t>CS.02.03.03.b</w:t>
            </w:r>
          </w:p>
        </w:tc>
        <w:tc>
          <w:tcPr>
            <w:tcW w:w="805" w:type="dxa"/>
            <w:shd w:val="clear" w:color="auto" w:fill="auto"/>
          </w:tcPr>
          <w:p w:rsidR="005E609D" w:rsidRPr="00EA527F" w:rsidRDefault="005E609D" w:rsidP="001412E4">
            <w:pPr>
              <w:spacing w:after="0" w:line="240" w:lineRule="auto"/>
              <w:jc w:val="center"/>
            </w:pPr>
            <w:r w:rsidRPr="00EA527F">
              <w:t>2</w:t>
            </w:r>
          </w:p>
        </w:tc>
      </w:tr>
      <w:tr w:rsidR="005E609D" w:rsidTr="00D611DE">
        <w:trPr>
          <w:trHeight w:val="466"/>
        </w:trPr>
        <w:tc>
          <w:tcPr>
            <w:tcW w:w="4822" w:type="dxa"/>
            <w:gridSpan w:val="2"/>
          </w:tcPr>
          <w:p w:rsidR="005E609D" w:rsidRPr="00063927" w:rsidRDefault="005E609D" w:rsidP="00063927">
            <w:pPr>
              <w:pStyle w:val="ListParagraph"/>
              <w:numPr>
                <w:ilvl w:val="0"/>
                <w:numId w:val="18"/>
              </w:numPr>
              <w:spacing w:after="0" w:line="240" w:lineRule="auto"/>
              <w:rPr>
                <w:rFonts w:ascii="Times New Roman" w:hAnsi="Times New Roman"/>
                <w:szCs w:val="20"/>
              </w:rPr>
            </w:pPr>
            <w:r w:rsidRPr="00063927">
              <w:rPr>
                <w:rFonts w:ascii="Times New Roman" w:hAnsi="Times New Roman"/>
                <w:szCs w:val="20"/>
              </w:rPr>
              <w:t>Unit: Demonstrate an understanding of the requirements of a position in the greenhouse industry by researching the position and presenting their findings on a presentation that will be given in class.</w:t>
            </w:r>
          </w:p>
        </w:tc>
        <w:tc>
          <w:tcPr>
            <w:tcW w:w="2787" w:type="dxa"/>
            <w:gridSpan w:val="2"/>
          </w:tcPr>
          <w:p w:rsidR="005E609D" w:rsidRPr="00C44E14" w:rsidRDefault="005E609D" w:rsidP="005A0F5D">
            <w:pPr>
              <w:spacing w:after="0" w:line="240" w:lineRule="auto"/>
              <w:rPr>
                <w:b/>
              </w:rPr>
            </w:pPr>
          </w:p>
        </w:tc>
        <w:tc>
          <w:tcPr>
            <w:tcW w:w="1144" w:type="dxa"/>
            <w:shd w:val="clear" w:color="auto" w:fill="auto"/>
          </w:tcPr>
          <w:p w:rsidR="005E609D" w:rsidRPr="00C44E14" w:rsidRDefault="005E609D" w:rsidP="005A0F5D">
            <w:pPr>
              <w:spacing w:after="0" w:line="240" w:lineRule="auto"/>
              <w:rPr>
                <w:b/>
              </w:rPr>
            </w:pPr>
          </w:p>
        </w:tc>
        <w:tc>
          <w:tcPr>
            <w:tcW w:w="689" w:type="dxa"/>
            <w:shd w:val="clear" w:color="auto" w:fill="auto"/>
          </w:tcPr>
          <w:p w:rsidR="005E609D" w:rsidRPr="00C44E14" w:rsidRDefault="005E609D" w:rsidP="005A0F5D">
            <w:pPr>
              <w:spacing w:after="0" w:line="240" w:lineRule="auto"/>
              <w:rPr>
                <w:b/>
              </w:rPr>
            </w:pPr>
          </w:p>
        </w:tc>
        <w:tc>
          <w:tcPr>
            <w:tcW w:w="1358" w:type="dxa"/>
            <w:shd w:val="clear" w:color="auto" w:fill="auto"/>
          </w:tcPr>
          <w:p w:rsidR="005E609D" w:rsidRPr="00E11631" w:rsidRDefault="005E609D" w:rsidP="001412E4">
            <w:pPr>
              <w:spacing w:after="0" w:line="240" w:lineRule="auto"/>
              <w:jc w:val="center"/>
            </w:pPr>
            <w:r w:rsidRPr="00E11631">
              <w:t>RI11-12.7</w:t>
            </w:r>
          </w:p>
          <w:p w:rsidR="005E609D" w:rsidRPr="00E11631" w:rsidRDefault="005E609D" w:rsidP="001412E4">
            <w:pPr>
              <w:spacing w:after="0" w:line="240" w:lineRule="auto"/>
              <w:jc w:val="center"/>
            </w:pPr>
            <w:r w:rsidRPr="00E11631">
              <w:t>RH11-12.7</w:t>
            </w:r>
          </w:p>
          <w:p w:rsidR="005E609D" w:rsidRPr="00E11631" w:rsidRDefault="005E609D" w:rsidP="001412E4">
            <w:pPr>
              <w:spacing w:after="0" w:line="240" w:lineRule="auto"/>
              <w:jc w:val="center"/>
            </w:pPr>
            <w:r w:rsidRPr="00E11631">
              <w:t>SL11-12.4</w:t>
            </w:r>
          </w:p>
          <w:p w:rsidR="005E609D" w:rsidRPr="00E11631" w:rsidRDefault="005E609D" w:rsidP="001412E4">
            <w:pPr>
              <w:spacing w:after="0" w:line="240" w:lineRule="auto"/>
              <w:jc w:val="center"/>
            </w:pPr>
            <w:r w:rsidRPr="00E11631">
              <w:t>SL11-12.5</w:t>
            </w:r>
          </w:p>
        </w:tc>
        <w:tc>
          <w:tcPr>
            <w:tcW w:w="1571" w:type="dxa"/>
            <w:shd w:val="clear" w:color="auto" w:fill="auto"/>
          </w:tcPr>
          <w:p w:rsidR="005E609D" w:rsidRPr="00EA527F" w:rsidRDefault="005E609D" w:rsidP="001412E4">
            <w:pPr>
              <w:spacing w:after="0" w:line="240" w:lineRule="auto"/>
              <w:jc w:val="center"/>
            </w:pPr>
            <w:r w:rsidRPr="00EA527F">
              <w:t>CS.05.03.01.b</w:t>
            </w:r>
          </w:p>
          <w:p w:rsidR="005E609D" w:rsidRPr="00EA527F" w:rsidRDefault="005E609D" w:rsidP="001412E4">
            <w:pPr>
              <w:spacing w:after="0" w:line="240" w:lineRule="auto"/>
              <w:jc w:val="center"/>
            </w:pPr>
            <w:r w:rsidRPr="00EA527F">
              <w:t>CS.02.03.02.a</w:t>
            </w:r>
          </w:p>
          <w:p w:rsidR="005E609D" w:rsidRPr="00EA527F" w:rsidRDefault="005E609D" w:rsidP="001412E4">
            <w:pPr>
              <w:spacing w:after="0" w:line="240" w:lineRule="auto"/>
              <w:jc w:val="center"/>
            </w:pPr>
            <w:r w:rsidRPr="00EA527F">
              <w:t xml:space="preserve">CS.02.03.03.c </w:t>
            </w:r>
          </w:p>
          <w:p w:rsidR="005E609D" w:rsidRPr="00EA527F" w:rsidRDefault="005E609D" w:rsidP="001412E4">
            <w:pPr>
              <w:spacing w:after="0" w:line="240" w:lineRule="auto"/>
              <w:jc w:val="center"/>
            </w:pPr>
          </w:p>
        </w:tc>
        <w:tc>
          <w:tcPr>
            <w:tcW w:w="805" w:type="dxa"/>
            <w:shd w:val="clear" w:color="auto" w:fill="auto"/>
          </w:tcPr>
          <w:p w:rsidR="005E609D" w:rsidRPr="00EA527F" w:rsidRDefault="005E609D" w:rsidP="001412E4">
            <w:pPr>
              <w:spacing w:after="0" w:line="240" w:lineRule="auto"/>
              <w:jc w:val="center"/>
            </w:pPr>
            <w:r w:rsidRPr="00EA527F">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D611DE" w:rsidRPr="00766DFF" w:rsidRDefault="00D611DE" w:rsidP="00D611DE">
            <w:pPr>
              <w:spacing w:after="120" w:line="240" w:lineRule="auto"/>
              <w:ind w:left="110"/>
              <w:rPr>
                <w:rFonts w:ascii="Times New Roman" w:hAnsi="Times New Roman"/>
              </w:rPr>
            </w:pPr>
            <w:r w:rsidRPr="00766DFF">
              <w:rPr>
                <w:rFonts w:ascii="Times New Roman" w:hAnsi="Times New Roman"/>
              </w:rPr>
              <w:t xml:space="preserve">Students will work individually to research one profession listed in TM 1.4 in lesson 2 of the unit. Areas to examine include (but are not limited to): educational requirements, pay scale, responsibilities, and duties. Students will </w:t>
            </w:r>
            <w:r>
              <w:rPr>
                <w:rFonts w:ascii="Times New Roman" w:hAnsi="Times New Roman"/>
              </w:rPr>
              <w:t xml:space="preserve">give a </w:t>
            </w:r>
            <w:r w:rsidRPr="00766DFF">
              <w:rPr>
                <w:rFonts w:ascii="Times New Roman" w:hAnsi="Times New Roman"/>
              </w:rPr>
              <w:t>present</w:t>
            </w:r>
            <w:r>
              <w:rPr>
                <w:rFonts w:ascii="Times New Roman" w:hAnsi="Times New Roman"/>
              </w:rPr>
              <w:t>ation on</w:t>
            </w:r>
            <w:r w:rsidRPr="00766DFF">
              <w:rPr>
                <w:rFonts w:ascii="Times New Roman" w:hAnsi="Times New Roman"/>
              </w:rPr>
              <w:t xml:space="preserve"> their findings</w:t>
            </w:r>
            <w:r>
              <w:rPr>
                <w:rFonts w:ascii="Times New Roman" w:hAnsi="Times New Roman"/>
              </w:rPr>
              <w:t xml:space="preserve"> </w:t>
            </w:r>
            <w:r w:rsidRPr="00766DFF">
              <w:rPr>
                <w:rFonts w:ascii="Times New Roman" w:hAnsi="Times New Roman"/>
              </w:rPr>
              <w:t>in class.</w:t>
            </w:r>
          </w:p>
          <w:p w:rsidR="00D611DE" w:rsidRPr="00C44E14" w:rsidRDefault="00D611DE" w:rsidP="00D611DE">
            <w:pPr>
              <w:spacing w:after="120" w:line="240" w:lineRule="auto"/>
              <w:ind w:left="110"/>
              <w:rPr>
                <w:b/>
              </w:rPr>
            </w:pPr>
            <w:r w:rsidRPr="00766DFF">
              <w:rPr>
                <w:rFonts w:ascii="Times New Roman" w:hAnsi="Times New Roman"/>
              </w:rPr>
              <w:t>Assessment will be based</w:t>
            </w:r>
            <w:r>
              <w:rPr>
                <w:rFonts w:ascii="Times New Roman" w:hAnsi="Times New Roman"/>
              </w:rPr>
              <w:t xml:space="preserve"> on the content and delivery of the </w:t>
            </w:r>
            <w:r w:rsidRPr="00766DFF">
              <w:rPr>
                <w:rFonts w:ascii="Times New Roman" w:hAnsi="Times New Roman"/>
              </w:rPr>
              <w:t xml:space="preserve">presentation. Spelling, grammar, punctuation, and capitalization will also be factors </w:t>
            </w:r>
            <w:r w:rsidRPr="00766DFF">
              <w:rPr>
                <w:rFonts w:ascii="Times New Roman" w:hAnsi="Times New Roman"/>
              </w:rPr>
              <w:lastRenderedPageBreak/>
              <w:t xml:space="preserve">in the assessment.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D611DE" w:rsidP="00C44E14">
            <w:pPr>
              <w:spacing w:line="240" w:lineRule="auto"/>
              <w:rPr>
                <w:noProof/>
              </w:rPr>
            </w:pPr>
            <w:r>
              <w:rPr>
                <w:noProof/>
              </w:rPr>
              <w:t>1 &amp; 2</w:t>
            </w:r>
          </w:p>
        </w:tc>
        <w:tc>
          <w:tcPr>
            <w:tcW w:w="12348" w:type="dxa"/>
            <w:gridSpan w:val="8"/>
          </w:tcPr>
          <w:p w:rsidR="00D2622A" w:rsidRPr="00D611DE" w:rsidRDefault="00D611DE" w:rsidP="00D611DE">
            <w:pPr>
              <w:pStyle w:val="ListParagraph"/>
              <w:numPr>
                <w:ilvl w:val="0"/>
                <w:numId w:val="20"/>
              </w:numPr>
              <w:spacing w:after="120" w:line="240" w:lineRule="auto"/>
            </w:pPr>
            <w:r w:rsidRPr="00D611DE">
              <w:t>Lecture and discussion</w:t>
            </w:r>
          </w:p>
        </w:tc>
      </w:tr>
      <w:tr w:rsidR="00D2622A" w:rsidTr="00C44E14">
        <w:trPr>
          <w:trHeight w:val="359"/>
        </w:trPr>
        <w:tc>
          <w:tcPr>
            <w:tcW w:w="828" w:type="dxa"/>
          </w:tcPr>
          <w:p w:rsidR="00D2622A" w:rsidRPr="009505D0" w:rsidRDefault="00D611DE" w:rsidP="00C44E14">
            <w:pPr>
              <w:spacing w:line="240" w:lineRule="auto"/>
              <w:rPr>
                <w:noProof/>
              </w:rPr>
            </w:pPr>
            <w:r>
              <w:rPr>
                <w:noProof/>
              </w:rPr>
              <w:t>3</w:t>
            </w:r>
          </w:p>
        </w:tc>
        <w:tc>
          <w:tcPr>
            <w:tcW w:w="12348" w:type="dxa"/>
            <w:gridSpan w:val="8"/>
          </w:tcPr>
          <w:p w:rsidR="00D2622A" w:rsidRPr="00D611DE" w:rsidRDefault="00D611DE" w:rsidP="00D611DE">
            <w:pPr>
              <w:pStyle w:val="ListParagraph"/>
              <w:numPr>
                <w:ilvl w:val="0"/>
                <w:numId w:val="20"/>
              </w:numPr>
              <w:spacing w:after="120" w:line="240" w:lineRule="auto"/>
            </w:pPr>
            <w:r w:rsidRPr="00D611DE">
              <w:t>Student presentations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D611DE" w:rsidRDefault="00254338" w:rsidP="003A7E69">
            <w:pPr>
              <w:spacing w:line="240" w:lineRule="auto"/>
              <w:rPr>
                <w:b/>
                <w:color w:val="A6A6A6"/>
                <w:sz w:val="18"/>
              </w:rPr>
            </w:pPr>
            <w:r w:rsidRPr="00D611DE">
              <w:rPr>
                <w:b/>
              </w:rPr>
              <w:t xml:space="preserve">INSTRUCTIONAL ACTIVITIES: </w:t>
            </w:r>
            <w:r w:rsidRPr="00D611DE">
              <w:rPr>
                <w:b/>
                <w:sz w:val="18"/>
              </w:rPr>
              <w:t>(What Students Do)</w:t>
            </w:r>
          </w:p>
        </w:tc>
      </w:tr>
      <w:tr w:rsidR="003A7E69" w:rsidTr="00C44E14">
        <w:trPr>
          <w:trHeight w:val="466"/>
        </w:trPr>
        <w:tc>
          <w:tcPr>
            <w:tcW w:w="828" w:type="dxa"/>
          </w:tcPr>
          <w:p w:rsidR="003A7E69" w:rsidRPr="009505D0" w:rsidRDefault="00D611DE" w:rsidP="00C44E14">
            <w:pPr>
              <w:spacing w:line="240" w:lineRule="auto"/>
              <w:rPr>
                <w:noProof/>
              </w:rPr>
            </w:pPr>
            <w:r>
              <w:rPr>
                <w:noProof/>
              </w:rPr>
              <w:t>1 &amp; 2</w:t>
            </w:r>
          </w:p>
        </w:tc>
        <w:tc>
          <w:tcPr>
            <w:tcW w:w="12348" w:type="dxa"/>
            <w:gridSpan w:val="8"/>
          </w:tcPr>
          <w:p w:rsidR="003A7E69" w:rsidRPr="00D611DE" w:rsidRDefault="00D611DE" w:rsidP="00D611DE">
            <w:pPr>
              <w:pStyle w:val="ListParagraph"/>
              <w:numPr>
                <w:ilvl w:val="0"/>
                <w:numId w:val="19"/>
              </w:numPr>
              <w:spacing w:line="240" w:lineRule="auto"/>
            </w:pPr>
            <w:r w:rsidRPr="00D611DE">
              <w:rPr>
                <w:rFonts w:ascii="Times New Roman" w:hAnsi="Times New Roman"/>
              </w:rPr>
              <w:t>Students will respond to study questions in lessons 1 and 2.</w:t>
            </w:r>
          </w:p>
        </w:tc>
      </w:tr>
      <w:tr w:rsidR="003A7E69" w:rsidTr="00C44E14">
        <w:trPr>
          <w:trHeight w:val="466"/>
        </w:trPr>
        <w:tc>
          <w:tcPr>
            <w:tcW w:w="828" w:type="dxa"/>
          </w:tcPr>
          <w:p w:rsidR="003A7E69" w:rsidRPr="009505D0" w:rsidRDefault="00D611DE" w:rsidP="00C44E14">
            <w:pPr>
              <w:spacing w:line="240" w:lineRule="auto"/>
              <w:rPr>
                <w:noProof/>
              </w:rPr>
            </w:pPr>
            <w:r>
              <w:rPr>
                <w:noProof/>
              </w:rPr>
              <w:t>3</w:t>
            </w:r>
          </w:p>
        </w:tc>
        <w:tc>
          <w:tcPr>
            <w:tcW w:w="12348" w:type="dxa"/>
            <w:gridSpan w:val="8"/>
          </w:tcPr>
          <w:p w:rsidR="003A7E69" w:rsidRPr="00D611DE" w:rsidRDefault="00D611DE" w:rsidP="00D611DE">
            <w:pPr>
              <w:pStyle w:val="ListParagraph"/>
              <w:numPr>
                <w:ilvl w:val="0"/>
                <w:numId w:val="19"/>
              </w:numPr>
              <w:spacing w:line="240" w:lineRule="auto"/>
            </w:pPr>
            <w:r w:rsidRPr="00D611DE">
              <w:rPr>
                <w:rFonts w:ascii="Times New Roman" w:hAnsi="Times New Roman"/>
              </w:rPr>
              <w:t xml:space="preserve">Students will complete </w:t>
            </w:r>
            <w:r w:rsidRPr="00D611DE">
              <w:rPr>
                <w:rFonts w:ascii="Times New Roman" w:hAnsi="Times New Roman"/>
                <w:i/>
              </w:rPr>
              <w:t>AS 1.4, Greenhouse Careers: Which One? How to Succeed?</w:t>
            </w:r>
            <w:r w:rsidRPr="00D611DE">
              <w:rPr>
                <w:rFonts w:ascii="Times New Roman" w:hAnsi="Times New Roman"/>
              </w:rPr>
              <w:t xml:space="preserve"> </w:t>
            </w:r>
            <w:proofErr w:type="gramStart"/>
            <w:r w:rsidRPr="00D611DE">
              <w:rPr>
                <w:rFonts w:ascii="Times New Roman" w:hAnsi="Times New Roman"/>
              </w:rPr>
              <w:t>and</w:t>
            </w:r>
            <w:proofErr w:type="gramEnd"/>
            <w:r w:rsidRPr="00D611DE">
              <w:rPr>
                <w:rFonts w:ascii="Times New Roman" w:hAnsi="Times New Roman"/>
              </w:rPr>
              <w:t xml:space="preserve"> </w:t>
            </w:r>
            <w:r w:rsidRPr="00D611DE">
              <w:rPr>
                <w:rFonts w:ascii="Times New Roman" w:hAnsi="Times New Roman"/>
                <w:i/>
              </w:rPr>
              <w:t>AS 1.5, Getting Involved in the Greenhouse Industry</w:t>
            </w:r>
            <w:r w:rsidRPr="00D611DE">
              <w:rPr>
                <w:rFonts w:ascii="Times New Roman" w:hAnsi="Times New Roman"/>
              </w:rPr>
              <w:t>.</w:t>
            </w:r>
          </w:p>
        </w:tc>
      </w:tr>
      <w:tr w:rsidR="00D611DE" w:rsidTr="00C44E14">
        <w:trPr>
          <w:trHeight w:val="466"/>
        </w:trPr>
        <w:tc>
          <w:tcPr>
            <w:tcW w:w="828" w:type="dxa"/>
          </w:tcPr>
          <w:p w:rsidR="00D611DE" w:rsidRDefault="00D611DE" w:rsidP="00C44E14">
            <w:pPr>
              <w:spacing w:line="240" w:lineRule="auto"/>
              <w:rPr>
                <w:noProof/>
              </w:rPr>
            </w:pPr>
          </w:p>
        </w:tc>
        <w:tc>
          <w:tcPr>
            <w:tcW w:w="12348" w:type="dxa"/>
            <w:gridSpan w:val="8"/>
          </w:tcPr>
          <w:p w:rsidR="00D611DE" w:rsidRPr="00D611DE" w:rsidRDefault="00D611DE" w:rsidP="00D611DE">
            <w:pPr>
              <w:pStyle w:val="ListParagraph"/>
              <w:numPr>
                <w:ilvl w:val="0"/>
                <w:numId w:val="19"/>
              </w:numPr>
              <w:spacing w:line="240" w:lineRule="auto"/>
              <w:rPr>
                <w:rFonts w:ascii="Times New Roman" w:hAnsi="Times New Roman"/>
              </w:rPr>
            </w:pPr>
            <w:r w:rsidRPr="00D611DE">
              <w:rPr>
                <w:rFonts w:ascii="Times New Roman" w:hAnsi="Times New Roman"/>
              </w:rPr>
              <w:t>Additional activities that relate to the unit objective can be found under the heading “Other Activities and Strategies” on p. 29</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D611DE" w:rsidRPr="00766DFF" w:rsidRDefault="00D611DE" w:rsidP="00D611DE">
            <w:pPr>
              <w:numPr>
                <w:ilvl w:val="0"/>
                <w:numId w:val="21"/>
              </w:numPr>
              <w:spacing w:after="120" w:line="240" w:lineRule="auto"/>
              <w:rPr>
                <w:rFonts w:ascii="Times New Roman" w:hAnsi="Times New Roman"/>
                <w:i/>
              </w:rPr>
            </w:pPr>
            <w:r w:rsidRPr="00766DFF">
              <w:rPr>
                <w:rFonts w:ascii="Times New Roman" w:hAnsi="Times New Roman"/>
              </w:rPr>
              <w:t>Area businesses, the newspaper, or the local phone book</w:t>
            </w:r>
          </w:p>
          <w:p w:rsidR="00D611DE" w:rsidRPr="00766DFF" w:rsidRDefault="00D611DE" w:rsidP="00D611DE">
            <w:pPr>
              <w:numPr>
                <w:ilvl w:val="0"/>
                <w:numId w:val="21"/>
              </w:numPr>
              <w:spacing w:after="120" w:line="240" w:lineRule="auto"/>
              <w:rPr>
                <w:rFonts w:ascii="Times New Roman" w:hAnsi="Times New Roman"/>
              </w:rPr>
            </w:pPr>
            <w:r w:rsidRPr="00766DFF">
              <w:rPr>
                <w:rFonts w:ascii="Times New Roman" w:hAnsi="Times New Roman"/>
                <w:i/>
              </w:rPr>
              <w:t>Greenhouse Operation and Management</w:t>
            </w:r>
            <w:r w:rsidRPr="00766DFF">
              <w:rPr>
                <w:rFonts w:ascii="Times New Roman" w:hAnsi="Times New Roman"/>
              </w:rPr>
              <w:t>. University of Missouri-Columbia, Instructional Materials Laboratory, 2002.</w:t>
            </w:r>
          </w:p>
          <w:p w:rsidR="00D611DE" w:rsidRPr="00766DFF" w:rsidRDefault="00D611DE" w:rsidP="00D611DE">
            <w:pPr>
              <w:pStyle w:val="zIndent1"/>
              <w:numPr>
                <w:ilvl w:val="0"/>
                <w:numId w:val="21"/>
              </w:numPr>
              <w:spacing w:after="120"/>
              <w:rPr>
                <w:rFonts w:ascii="Times New Roman" w:hAnsi="Times New Roman"/>
                <w:sz w:val="22"/>
              </w:rPr>
            </w:pPr>
            <w:r w:rsidRPr="00766DFF">
              <w:rPr>
                <w:rFonts w:ascii="Times New Roman" w:hAnsi="Times New Roman"/>
                <w:sz w:val="22"/>
              </w:rPr>
              <w:t>Monster.com</w:t>
            </w:r>
            <w:r w:rsidRPr="00766DFF">
              <w:rPr>
                <w:rFonts w:ascii="Times New Roman" w:hAnsi="Times New Roman"/>
                <w:i/>
                <w:sz w:val="22"/>
              </w:rPr>
              <w:t xml:space="preserve"> </w:t>
            </w:r>
            <w:r w:rsidRPr="00766DFF">
              <w:rPr>
                <w:rFonts w:ascii="Times New Roman" w:hAnsi="Times New Roman"/>
                <w:sz w:val="22"/>
              </w:rPr>
              <w:t>(job search engine).</w:t>
            </w:r>
            <w:r w:rsidRPr="00766DFF">
              <w:rPr>
                <w:rFonts w:ascii="Times New Roman" w:hAnsi="Times New Roman"/>
                <w:i/>
                <w:sz w:val="22"/>
              </w:rPr>
              <w:t xml:space="preserve"> </w:t>
            </w:r>
            <w:r w:rsidRPr="00766DFF">
              <w:rPr>
                <w:rFonts w:ascii="Times New Roman" w:hAnsi="Times New Roman"/>
                <w:sz w:val="22"/>
              </w:rPr>
              <w:t xml:space="preserve">Accessed January 17, 2012, from </w:t>
            </w:r>
            <w:hyperlink r:id="rId12" w:history="1">
              <w:r w:rsidRPr="00E17A69">
                <w:rPr>
                  <w:rStyle w:val="Hyperlink"/>
                  <w:rFonts w:ascii="Times New Roman" w:hAnsi="Times New Roman"/>
                  <w:sz w:val="22"/>
                </w:rPr>
                <w:t>http://www.monster.com/</w:t>
              </w:r>
            </w:hyperlink>
            <w:r w:rsidRPr="00766DFF">
              <w:rPr>
                <w:rFonts w:ascii="Times New Roman" w:hAnsi="Times New Roman"/>
                <w:sz w:val="22"/>
              </w:rPr>
              <w:t>.</w:t>
            </w:r>
          </w:p>
          <w:p w:rsidR="00D611DE" w:rsidRDefault="00D611DE" w:rsidP="00D611DE">
            <w:pPr>
              <w:pStyle w:val="zIndent1"/>
              <w:numPr>
                <w:ilvl w:val="0"/>
                <w:numId w:val="21"/>
              </w:numPr>
              <w:spacing w:after="120"/>
              <w:rPr>
                <w:rFonts w:ascii="Times New Roman" w:hAnsi="Times New Roman"/>
                <w:sz w:val="22"/>
              </w:rPr>
            </w:pPr>
            <w:r w:rsidRPr="00766DFF">
              <w:rPr>
                <w:rFonts w:ascii="Times New Roman" w:hAnsi="Times New Roman"/>
                <w:i/>
                <w:sz w:val="22"/>
              </w:rPr>
              <w:t>Occupational Outlook Handbook</w:t>
            </w:r>
            <w:r w:rsidRPr="00766DFF">
              <w:rPr>
                <w:rFonts w:ascii="Times New Roman" w:hAnsi="Times New Roman"/>
                <w:sz w:val="22"/>
              </w:rPr>
              <w:t xml:space="preserve">. U.S. Department of Labor. Bureau of Labor and Statistics. Accessed January 17, 2012, from </w:t>
            </w:r>
            <w:hyperlink r:id="rId13" w:history="1">
              <w:r w:rsidRPr="00766DFF">
                <w:rPr>
                  <w:rStyle w:val="Hyperlink"/>
                  <w:rFonts w:ascii="Times New Roman" w:hAnsi="Times New Roman"/>
                  <w:sz w:val="22"/>
                </w:rPr>
                <w:t>http://www.bls.gov/oco/home.htm</w:t>
              </w:r>
            </w:hyperlink>
            <w:r w:rsidRPr="00766DFF">
              <w:rPr>
                <w:rFonts w:ascii="Times New Roman" w:hAnsi="Times New Roman"/>
                <w:sz w:val="22"/>
              </w:rPr>
              <w:t>.</w:t>
            </w:r>
          </w:p>
          <w:p w:rsidR="00D611DE" w:rsidRPr="00766DFF" w:rsidRDefault="00D611DE" w:rsidP="00D611DE">
            <w:pPr>
              <w:pStyle w:val="zIndent1"/>
              <w:numPr>
                <w:ilvl w:val="0"/>
                <w:numId w:val="21"/>
              </w:numPr>
              <w:spacing w:after="120"/>
              <w:rPr>
                <w:b/>
              </w:rPr>
            </w:pPr>
            <w:r w:rsidRPr="00766DFF">
              <w:rPr>
                <w:rFonts w:ascii="Times New Roman" w:hAnsi="Times New Roman"/>
                <w:sz w:val="22"/>
              </w:rPr>
              <w:t>University of Missouri-Career Center.</w:t>
            </w:r>
            <w:r w:rsidRPr="00766DFF">
              <w:rPr>
                <w:rFonts w:ascii="Times New Roman" w:hAnsi="Times New Roman"/>
                <w:i/>
                <w:sz w:val="22"/>
              </w:rPr>
              <w:t xml:space="preserve"> </w:t>
            </w:r>
            <w:r w:rsidRPr="00766DFF">
              <w:rPr>
                <w:rFonts w:ascii="Times New Roman" w:hAnsi="Times New Roman"/>
                <w:sz w:val="22"/>
              </w:rPr>
              <w:t xml:space="preserve">Accessed January 17, 2012, from </w:t>
            </w:r>
            <w:hyperlink r:id="rId14" w:history="1">
              <w:r w:rsidRPr="00766DFF">
                <w:rPr>
                  <w:rStyle w:val="Hyperlink"/>
                  <w:rFonts w:ascii="Times New Roman" w:hAnsi="Times New Roman"/>
                  <w:sz w:val="22"/>
                </w:rPr>
                <w:t>http://www.career.missouri.edu/</w:t>
              </w:r>
            </w:hyperlink>
          </w:p>
          <w:p w:rsidR="00D611DE" w:rsidRPr="00C0445F" w:rsidRDefault="00D611DE" w:rsidP="00D611DE">
            <w:pPr>
              <w:pStyle w:val="zIndent1"/>
              <w:numPr>
                <w:ilvl w:val="0"/>
                <w:numId w:val="21"/>
              </w:numPr>
              <w:spacing w:after="120"/>
              <w:rPr>
                <w:b/>
              </w:rPr>
            </w:pPr>
            <w:r w:rsidRPr="00766DFF">
              <w:rPr>
                <w:rFonts w:ascii="Times New Roman" w:hAnsi="Times New Roman"/>
                <w:sz w:val="22"/>
              </w:rPr>
              <w:t>Students will use additional outside sources to complete this activity.</w:t>
            </w:r>
            <w:r w:rsidRPr="00766DFF">
              <w:rPr>
                <w:rFonts w:ascii="Times New Roman" w:hAnsi="Times New Roman"/>
                <w:b/>
                <w:sz w:val="22"/>
              </w:rPr>
              <w:t xml:space="preserve"> </w:t>
            </w:r>
          </w:p>
          <w:p w:rsidR="000F47EE" w:rsidRPr="00D611DE" w:rsidRDefault="00D611DE" w:rsidP="00D611DE">
            <w:pPr>
              <w:pStyle w:val="ListParagraph"/>
              <w:numPr>
                <w:ilvl w:val="0"/>
                <w:numId w:val="21"/>
              </w:numPr>
              <w:spacing w:line="240" w:lineRule="auto"/>
            </w:pPr>
            <w:r w:rsidRPr="00D611DE">
              <w:rPr>
                <w:rFonts w:ascii="Times New Roman" w:hAnsi="Times New Roman"/>
              </w:rPr>
              <w:t>Introduction to Greenhouse Management (Ohio – purple book)</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5E609D">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5E609D">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C65518">
      <w:t>The Greenhouse Industry</w:t>
    </w:r>
    <w:r w:rsidR="00C65518">
      <w:tab/>
    </w:r>
    <w:r w:rsidR="0094250B">
      <w:t>Course</w:t>
    </w:r>
    <w:r>
      <w:t xml:space="preserv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601613"/>
    <w:multiLevelType w:val="hybridMultilevel"/>
    <w:tmpl w:val="14B4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06720"/>
    <w:multiLevelType w:val="hybridMultilevel"/>
    <w:tmpl w:val="7B40A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813182"/>
    <w:multiLevelType w:val="hybridMultilevel"/>
    <w:tmpl w:val="01BE4F5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nsid w:val="7F912EB1"/>
    <w:multiLevelType w:val="hybridMultilevel"/>
    <w:tmpl w:val="BDD8A860"/>
    <w:lvl w:ilvl="0" w:tplc="29866A58">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8"/>
  </w:num>
  <w:num w:numId="3">
    <w:abstractNumId w:val="15"/>
  </w:num>
  <w:num w:numId="4">
    <w:abstractNumId w:val="6"/>
  </w:num>
  <w:num w:numId="5">
    <w:abstractNumId w:val="11"/>
  </w:num>
  <w:num w:numId="6">
    <w:abstractNumId w:val="3"/>
  </w:num>
  <w:num w:numId="7">
    <w:abstractNumId w:val="8"/>
  </w:num>
  <w:num w:numId="8">
    <w:abstractNumId w:val="17"/>
  </w:num>
  <w:num w:numId="9">
    <w:abstractNumId w:val="2"/>
  </w:num>
  <w:num w:numId="10">
    <w:abstractNumId w:val="1"/>
  </w:num>
  <w:num w:numId="11">
    <w:abstractNumId w:val="16"/>
  </w:num>
  <w:num w:numId="12">
    <w:abstractNumId w:val="7"/>
  </w:num>
  <w:num w:numId="13">
    <w:abstractNumId w:val="4"/>
  </w:num>
  <w:num w:numId="14">
    <w:abstractNumId w:val="14"/>
  </w:num>
  <w:num w:numId="15">
    <w:abstractNumId w:val="12"/>
  </w:num>
  <w:num w:numId="16">
    <w:abstractNumId w:val="9"/>
  </w:num>
  <w:num w:numId="17">
    <w:abstractNumId w:val="10"/>
  </w:num>
  <w:num w:numId="18">
    <w:abstractNumId w:val="13"/>
  </w:num>
  <w:num w:numId="19">
    <w:abstractNumId w:val="5"/>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3D7D"/>
    <w:rsid w:val="000553C2"/>
    <w:rsid w:val="00063927"/>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0715"/>
    <w:rsid w:val="004633F6"/>
    <w:rsid w:val="00467E84"/>
    <w:rsid w:val="004871C5"/>
    <w:rsid w:val="004E48C1"/>
    <w:rsid w:val="004F514F"/>
    <w:rsid w:val="00522002"/>
    <w:rsid w:val="00526777"/>
    <w:rsid w:val="00574E3C"/>
    <w:rsid w:val="005940E9"/>
    <w:rsid w:val="005A0F5D"/>
    <w:rsid w:val="005E609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21537"/>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65518"/>
    <w:rsid w:val="00C70F0A"/>
    <w:rsid w:val="00CD3B25"/>
    <w:rsid w:val="00CD43AD"/>
    <w:rsid w:val="00CE3449"/>
    <w:rsid w:val="00D01C5F"/>
    <w:rsid w:val="00D12505"/>
    <w:rsid w:val="00D2622A"/>
    <w:rsid w:val="00D35DED"/>
    <w:rsid w:val="00D56C18"/>
    <w:rsid w:val="00D57E50"/>
    <w:rsid w:val="00D611DE"/>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zIndent1">
    <w:name w:val="zIndent 1"/>
    <w:basedOn w:val="Normal"/>
    <w:rsid w:val="00D611DE"/>
    <w:pPr>
      <w:spacing w:after="0" w:line="240" w:lineRule="auto"/>
      <w:ind w:left="360"/>
    </w:pPr>
    <w:rPr>
      <w:rFonts w:ascii="Book Antiqua" w:eastAsia="Times New Roman" w:hAnsi="Book Antiqua"/>
      <w:sz w:val="24"/>
      <w:szCs w:val="20"/>
    </w:rPr>
  </w:style>
  <w:style w:type="character" w:styleId="Hyperlink">
    <w:name w:val="Hyperlink"/>
    <w:rsid w:val="00D611DE"/>
    <w:rPr>
      <w:color w:val="0000FF"/>
      <w:u w:val="single"/>
    </w:rPr>
  </w:style>
  <w:style w:type="character" w:styleId="FollowedHyperlink">
    <w:name w:val="FollowedHyperlink"/>
    <w:basedOn w:val="DefaultParagraphFont"/>
    <w:uiPriority w:val="99"/>
    <w:semiHidden/>
    <w:unhideWhenUsed/>
    <w:rsid w:val="00D611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co/home.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onst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eer.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E65C0-37E0-498E-BA5C-80073A69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2012-06-28T19:00:00Z</dcterms:created>
  <dcterms:modified xsi:type="dcterms:W3CDTF">2012-06-28T19:37:00Z</dcterms:modified>
</cp:coreProperties>
</file>