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23D7D" w:rsidRDefault="00023D7D" w:rsidP="00023D7D">
            <w:pPr>
              <w:autoSpaceDE w:val="0"/>
              <w:autoSpaceDN w:val="0"/>
              <w:adjustRightInd w:val="0"/>
              <w:spacing w:after="0" w:line="240" w:lineRule="auto"/>
              <w:rPr>
                <w:rFonts w:cs="Tahoma"/>
              </w:rPr>
            </w:pPr>
            <w:r w:rsidRPr="00461AF3">
              <w:rPr>
                <w:rFonts w:cs="Tahoma"/>
              </w:rPr>
              <w:t xml:space="preserve">The Greenhouse Operation and Management course develops a basic understanding of greenhouse techniques. The production of greenhouse crops will be used to demonstrate procedures such as plants started from cuttings, seeds, grafts, and layering. Students will manage their own crop as a greenhouse project. (CD 016765, CIP 01.0604) </w:t>
            </w:r>
          </w:p>
          <w:p w:rsidR="00023D7D" w:rsidRDefault="00023D7D" w:rsidP="00023D7D">
            <w:pPr>
              <w:autoSpaceDE w:val="0"/>
              <w:autoSpaceDN w:val="0"/>
              <w:adjustRightInd w:val="0"/>
              <w:spacing w:after="0" w:line="240" w:lineRule="auto"/>
              <w:rPr>
                <w:rFonts w:cs="Tahoma"/>
              </w:rPr>
            </w:pPr>
          </w:p>
          <w:p w:rsidR="00023D7D" w:rsidRPr="00461AF3" w:rsidRDefault="00023D7D" w:rsidP="00023D7D">
            <w:pPr>
              <w:autoSpaceDE w:val="0"/>
              <w:autoSpaceDN w:val="0"/>
              <w:adjustRightInd w:val="0"/>
              <w:spacing w:after="0" w:line="240" w:lineRule="auto"/>
              <w:rPr>
                <w:rFonts w:cs="Tahoma"/>
              </w:rPr>
            </w:pPr>
            <w:r w:rsidRPr="00461AF3">
              <w:rPr>
                <w:rFonts w:cs="Tahoma"/>
              </w:rPr>
              <w:t>Course Rationale – Agriculture encompasses the food, fiber, conservation and natural resource systems, employing over 20% of the nation’s workforce. Cutting, seeding, grafting, layering, and management of a greenhouse provide entry level and entrepreneurial opportunities for students with an interest in horticulture.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82"/>
        <w:gridCol w:w="2599"/>
        <w:gridCol w:w="206"/>
        <w:gridCol w:w="1144"/>
        <w:gridCol w:w="695"/>
        <w:gridCol w:w="1375"/>
        <w:gridCol w:w="1438"/>
        <w:gridCol w:w="809"/>
      </w:tblGrid>
      <w:tr w:rsidR="00DD40DF" w:rsidRPr="00DD40DF" w:rsidTr="00225CBA">
        <w:tc>
          <w:tcPr>
            <w:tcW w:w="750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C56C1A" w:rsidP="00C44E14">
            <w:pPr>
              <w:spacing w:line="240" w:lineRule="auto"/>
            </w:pPr>
            <w:r>
              <w:t>Students will learn methods of plant propagation.</w:t>
            </w:r>
          </w:p>
          <w:p w:rsidR="0013604E" w:rsidRPr="00C44E14" w:rsidRDefault="0013604E" w:rsidP="00C44E14">
            <w:pPr>
              <w:spacing w:line="240" w:lineRule="auto"/>
              <w:rPr>
                <w:b/>
              </w:rPr>
            </w:pPr>
          </w:p>
        </w:tc>
        <w:tc>
          <w:tcPr>
            <w:tcW w:w="5667"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F61AEB">
              <w:rPr>
                <w:b/>
              </w:rPr>
              <w:t xml:space="preserve">  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C44E14" w:rsidRDefault="00F61AEB" w:rsidP="00353AA8">
            <w:pPr>
              <w:spacing w:after="0" w:line="240" w:lineRule="auto"/>
              <w:rPr>
                <w:b/>
              </w:rPr>
            </w:pPr>
            <w:r w:rsidRPr="005928BB">
              <w:rPr>
                <w:rFonts w:cs="Calibri"/>
              </w:rPr>
              <w:t>1. What are methods of plant propagation?</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225CBA">
        <w:trPr>
          <w:trHeight w:val="467"/>
        </w:trPr>
        <w:tc>
          <w:tcPr>
            <w:tcW w:w="4910"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5"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61" w:type="dxa"/>
            <w:gridSpan w:val="5"/>
          </w:tcPr>
          <w:p w:rsidR="008322A8" w:rsidRPr="00C44E14" w:rsidRDefault="008322A8" w:rsidP="00C44E14">
            <w:pPr>
              <w:spacing w:line="240" w:lineRule="auto"/>
              <w:jc w:val="center"/>
              <w:rPr>
                <w:b/>
              </w:rPr>
            </w:pPr>
            <w:r w:rsidRPr="00C44E14">
              <w:rPr>
                <w:b/>
              </w:rPr>
              <w:t>CROSSWALK TO STANDARDS</w:t>
            </w:r>
          </w:p>
        </w:tc>
      </w:tr>
      <w:tr w:rsidR="00321BC1" w:rsidTr="00225CBA">
        <w:trPr>
          <w:trHeight w:val="466"/>
        </w:trPr>
        <w:tc>
          <w:tcPr>
            <w:tcW w:w="4910" w:type="dxa"/>
            <w:gridSpan w:val="2"/>
            <w:vMerge/>
          </w:tcPr>
          <w:p w:rsidR="00321BC1" w:rsidRPr="00C44E14" w:rsidRDefault="00321BC1" w:rsidP="00C44E14">
            <w:pPr>
              <w:spacing w:line="240" w:lineRule="auto"/>
              <w:jc w:val="center"/>
              <w:rPr>
                <w:b/>
              </w:rPr>
            </w:pPr>
          </w:p>
        </w:tc>
        <w:tc>
          <w:tcPr>
            <w:tcW w:w="2805"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5" w:type="dxa"/>
            <w:shd w:val="clear" w:color="auto" w:fill="auto"/>
          </w:tcPr>
          <w:p w:rsidR="00321BC1" w:rsidRPr="00C44E14" w:rsidRDefault="00321BC1" w:rsidP="00C44E14">
            <w:pPr>
              <w:spacing w:line="240" w:lineRule="auto"/>
              <w:jc w:val="center"/>
              <w:rPr>
                <w:b/>
              </w:rPr>
            </w:pPr>
            <w:r w:rsidRPr="00C44E14">
              <w:rPr>
                <w:b/>
              </w:rPr>
              <w:t>PS</w:t>
            </w:r>
          </w:p>
        </w:tc>
        <w:tc>
          <w:tcPr>
            <w:tcW w:w="1375" w:type="dxa"/>
          </w:tcPr>
          <w:p w:rsidR="00321BC1" w:rsidRPr="00C44E14" w:rsidRDefault="00321BC1" w:rsidP="00C44E14">
            <w:pPr>
              <w:spacing w:line="240" w:lineRule="auto"/>
              <w:jc w:val="center"/>
              <w:rPr>
                <w:b/>
              </w:rPr>
            </w:pPr>
            <w:r w:rsidRPr="00C44E14">
              <w:rPr>
                <w:b/>
              </w:rPr>
              <w:t>CCSS</w:t>
            </w:r>
          </w:p>
        </w:tc>
        <w:tc>
          <w:tcPr>
            <w:tcW w:w="1438" w:type="dxa"/>
          </w:tcPr>
          <w:p w:rsidR="00321BC1" w:rsidRPr="00C44E14" w:rsidRDefault="001E0B7B" w:rsidP="00C44E14">
            <w:pPr>
              <w:spacing w:line="240" w:lineRule="auto"/>
              <w:jc w:val="center"/>
              <w:rPr>
                <w:b/>
              </w:rPr>
            </w:pPr>
            <w:r>
              <w:rPr>
                <w:b/>
              </w:rPr>
              <w:t>AFNR Standards</w:t>
            </w:r>
            <w:bookmarkStart w:id="0" w:name="_GoBack"/>
            <w:bookmarkEnd w:id="0"/>
          </w:p>
        </w:tc>
        <w:tc>
          <w:tcPr>
            <w:tcW w:w="809" w:type="dxa"/>
          </w:tcPr>
          <w:p w:rsidR="00321BC1" w:rsidRPr="00C44E14" w:rsidRDefault="00321BC1" w:rsidP="00C44E14">
            <w:pPr>
              <w:spacing w:line="240" w:lineRule="auto"/>
              <w:jc w:val="center"/>
              <w:rPr>
                <w:b/>
              </w:rPr>
            </w:pPr>
            <w:r w:rsidRPr="00C44E14">
              <w:rPr>
                <w:b/>
              </w:rPr>
              <w:t>DOK</w:t>
            </w:r>
          </w:p>
        </w:tc>
      </w:tr>
      <w:tr w:rsidR="00F61AEB" w:rsidTr="00225CBA">
        <w:trPr>
          <w:trHeight w:val="466"/>
        </w:trPr>
        <w:tc>
          <w:tcPr>
            <w:tcW w:w="4910" w:type="dxa"/>
            <w:gridSpan w:val="2"/>
          </w:tcPr>
          <w:p w:rsidR="00F61AEB" w:rsidRPr="00F61AEB" w:rsidRDefault="00F61AEB" w:rsidP="00F61AEB">
            <w:pPr>
              <w:pStyle w:val="ListParagraph"/>
              <w:numPr>
                <w:ilvl w:val="0"/>
                <w:numId w:val="19"/>
              </w:numPr>
              <w:spacing w:after="0" w:line="240" w:lineRule="auto"/>
              <w:rPr>
                <w:rFonts w:ascii="Times New Roman" w:hAnsi="Times New Roman"/>
              </w:rPr>
            </w:pPr>
            <w:r w:rsidRPr="00F61AEB">
              <w:rPr>
                <w:rFonts w:ascii="Times New Roman" w:hAnsi="Times New Roman"/>
              </w:rPr>
              <w:t>Demonstrate the correct method for sexual propagation in the greenhouse environment.</w:t>
            </w:r>
          </w:p>
        </w:tc>
        <w:tc>
          <w:tcPr>
            <w:tcW w:w="2805" w:type="dxa"/>
            <w:gridSpan w:val="2"/>
          </w:tcPr>
          <w:p w:rsidR="00F61AEB" w:rsidRPr="00C44E14" w:rsidRDefault="00F61AEB" w:rsidP="005A0F5D">
            <w:pPr>
              <w:spacing w:after="0" w:line="240" w:lineRule="auto"/>
              <w:rPr>
                <w:b/>
              </w:rPr>
            </w:pPr>
          </w:p>
        </w:tc>
        <w:tc>
          <w:tcPr>
            <w:tcW w:w="1144" w:type="dxa"/>
            <w:shd w:val="clear" w:color="auto" w:fill="auto"/>
          </w:tcPr>
          <w:p w:rsidR="00F61AEB" w:rsidRPr="00C44E14" w:rsidRDefault="00F61AEB" w:rsidP="005A0F5D">
            <w:pPr>
              <w:spacing w:after="0" w:line="240" w:lineRule="auto"/>
              <w:rPr>
                <w:b/>
              </w:rPr>
            </w:pPr>
          </w:p>
        </w:tc>
        <w:tc>
          <w:tcPr>
            <w:tcW w:w="695" w:type="dxa"/>
            <w:shd w:val="clear" w:color="auto" w:fill="auto"/>
          </w:tcPr>
          <w:p w:rsidR="00F61AEB" w:rsidRPr="00C44E14" w:rsidRDefault="00F61AEB" w:rsidP="005A0F5D">
            <w:pPr>
              <w:spacing w:after="0" w:line="240" w:lineRule="auto"/>
              <w:rPr>
                <w:b/>
              </w:rPr>
            </w:pPr>
          </w:p>
        </w:tc>
        <w:tc>
          <w:tcPr>
            <w:tcW w:w="1375" w:type="dxa"/>
            <w:shd w:val="clear" w:color="auto" w:fill="auto"/>
          </w:tcPr>
          <w:p w:rsidR="00F61AEB" w:rsidRPr="007401CA" w:rsidRDefault="00F61AEB" w:rsidP="001412E4">
            <w:pPr>
              <w:spacing w:after="0" w:line="240" w:lineRule="auto"/>
              <w:jc w:val="center"/>
            </w:pPr>
            <w:r>
              <w:t>SL11-12.4</w:t>
            </w:r>
          </w:p>
        </w:tc>
        <w:tc>
          <w:tcPr>
            <w:tcW w:w="1438" w:type="dxa"/>
            <w:shd w:val="clear" w:color="auto" w:fill="auto"/>
          </w:tcPr>
          <w:p w:rsidR="00F61AEB" w:rsidRPr="007401CA" w:rsidRDefault="00F61AEB" w:rsidP="001412E4">
            <w:pPr>
              <w:spacing w:after="0" w:line="240" w:lineRule="auto"/>
              <w:jc w:val="center"/>
            </w:pPr>
            <w:r w:rsidRPr="007401CA">
              <w:t>PS.03.01.02.a</w:t>
            </w:r>
          </w:p>
          <w:p w:rsidR="00F61AEB" w:rsidRPr="007401CA" w:rsidRDefault="00F61AEB" w:rsidP="001412E4">
            <w:pPr>
              <w:spacing w:after="0" w:line="240" w:lineRule="auto"/>
              <w:jc w:val="center"/>
            </w:pPr>
            <w:r w:rsidRPr="007401CA">
              <w:t>PS.03.01.03.a</w:t>
            </w:r>
          </w:p>
          <w:p w:rsidR="00F61AEB" w:rsidRPr="007401CA" w:rsidRDefault="00F61AEB" w:rsidP="001412E4">
            <w:pPr>
              <w:spacing w:after="0" w:line="240" w:lineRule="auto"/>
              <w:jc w:val="center"/>
            </w:pPr>
            <w:r w:rsidRPr="007401CA">
              <w:t>PS.03.01.02.b</w:t>
            </w:r>
          </w:p>
          <w:p w:rsidR="00F61AEB" w:rsidRPr="007401CA" w:rsidRDefault="00F61AEB" w:rsidP="001412E4">
            <w:pPr>
              <w:spacing w:after="0" w:line="240" w:lineRule="auto"/>
              <w:jc w:val="center"/>
            </w:pPr>
            <w:r w:rsidRPr="007401CA">
              <w:t>PS.03.01.03.b</w:t>
            </w:r>
          </w:p>
          <w:p w:rsidR="00F61AEB" w:rsidRPr="007401CA" w:rsidRDefault="00F61AEB" w:rsidP="001412E4">
            <w:pPr>
              <w:spacing w:after="0" w:line="240" w:lineRule="auto"/>
              <w:jc w:val="center"/>
            </w:pPr>
            <w:r w:rsidRPr="007401CA">
              <w:t>PS.03.01.02.c</w:t>
            </w:r>
          </w:p>
          <w:p w:rsidR="00F61AEB" w:rsidRPr="007401CA" w:rsidRDefault="00F61AEB" w:rsidP="001412E4">
            <w:pPr>
              <w:spacing w:after="0" w:line="240" w:lineRule="auto"/>
              <w:jc w:val="center"/>
            </w:pPr>
            <w:r w:rsidRPr="007401CA">
              <w:t>PS.03.01.03.c</w:t>
            </w:r>
          </w:p>
        </w:tc>
        <w:tc>
          <w:tcPr>
            <w:tcW w:w="809" w:type="dxa"/>
            <w:shd w:val="clear" w:color="auto" w:fill="auto"/>
          </w:tcPr>
          <w:p w:rsidR="00F61AEB" w:rsidRPr="007401CA" w:rsidRDefault="00F61AEB" w:rsidP="001412E4">
            <w:pPr>
              <w:spacing w:after="0" w:line="240" w:lineRule="auto"/>
              <w:jc w:val="center"/>
            </w:pPr>
            <w:r w:rsidRPr="007401CA">
              <w:t>1</w:t>
            </w:r>
          </w:p>
        </w:tc>
      </w:tr>
      <w:tr w:rsidR="00F61AEB" w:rsidTr="00225CBA">
        <w:trPr>
          <w:trHeight w:val="466"/>
        </w:trPr>
        <w:tc>
          <w:tcPr>
            <w:tcW w:w="4910" w:type="dxa"/>
            <w:gridSpan w:val="2"/>
          </w:tcPr>
          <w:p w:rsidR="00F61AEB" w:rsidRPr="00F61AEB" w:rsidRDefault="00F61AEB" w:rsidP="00F61AEB">
            <w:pPr>
              <w:pStyle w:val="ListParagraph"/>
              <w:numPr>
                <w:ilvl w:val="0"/>
                <w:numId w:val="19"/>
              </w:numPr>
              <w:spacing w:after="0" w:line="240" w:lineRule="auto"/>
              <w:rPr>
                <w:rFonts w:ascii="Times New Roman" w:hAnsi="Times New Roman"/>
              </w:rPr>
            </w:pPr>
            <w:r w:rsidRPr="00F61AEB">
              <w:rPr>
                <w:rFonts w:ascii="Times New Roman" w:hAnsi="Times New Roman"/>
              </w:rPr>
              <w:t>Differentiate between various types of asexual propagation procedures.</w:t>
            </w:r>
          </w:p>
        </w:tc>
        <w:tc>
          <w:tcPr>
            <w:tcW w:w="2805" w:type="dxa"/>
            <w:gridSpan w:val="2"/>
          </w:tcPr>
          <w:p w:rsidR="00F61AEB" w:rsidRPr="00C44E14" w:rsidRDefault="00F61AEB" w:rsidP="005A0F5D">
            <w:pPr>
              <w:spacing w:after="0" w:line="240" w:lineRule="auto"/>
              <w:rPr>
                <w:b/>
              </w:rPr>
            </w:pPr>
          </w:p>
        </w:tc>
        <w:tc>
          <w:tcPr>
            <w:tcW w:w="1144" w:type="dxa"/>
            <w:shd w:val="clear" w:color="auto" w:fill="auto"/>
          </w:tcPr>
          <w:p w:rsidR="00F61AEB" w:rsidRPr="00C44E14" w:rsidRDefault="00F61AEB" w:rsidP="005A0F5D">
            <w:pPr>
              <w:spacing w:after="0" w:line="240" w:lineRule="auto"/>
              <w:rPr>
                <w:b/>
              </w:rPr>
            </w:pPr>
          </w:p>
        </w:tc>
        <w:tc>
          <w:tcPr>
            <w:tcW w:w="695" w:type="dxa"/>
            <w:shd w:val="clear" w:color="auto" w:fill="auto"/>
          </w:tcPr>
          <w:p w:rsidR="00F61AEB" w:rsidRPr="00C44E14" w:rsidRDefault="00F61AEB" w:rsidP="005A0F5D">
            <w:pPr>
              <w:spacing w:after="0" w:line="240" w:lineRule="auto"/>
              <w:rPr>
                <w:b/>
              </w:rPr>
            </w:pPr>
          </w:p>
        </w:tc>
        <w:tc>
          <w:tcPr>
            <w:tcW w:w="1375" w:type="dxa"/>
            <w:shd w:val="clear" w:color="auto" w:fill="auto"/>
          </w:tcPr>
          <w:p w:rsidR="00F61AEB" w:rsidRPr="007401CA" w:rsidRDefault="00F61AEB" w:rsidP="001412E4">
            <w:pPr>
              <w:spacing w:after="0" w:line="240" w:lineRule="auto"/>
              <w:jc w:val="center"/>
            </w:pPr>
            <w:r>
              <w:t>RST11-12.9</w:t>
            </w:r>
          </w:p>
        </w:tc>
        <w:tc>
          <w:tcPr>
            <w:tcW w:w="1438" w:type="dxa"/>
            <w:shd w:val="clear" w:color="auto" w:fill="auto"/>
          </w:tcPr>
          <w:p w:rsidR="00F61AEB" w:rsidRPr="007401CA" w:rsidRDefault="00F61AEB" w:rsidP="001412E4">
            <w:pPr>
              <w:spacing w:after="0" w:line="240" w:lineRule="auto"/>
              <w:jc w:val="center"/>
            </w:pPr>
            <w:r w:rsidRPr="007401CA">
              <w:t>PS.03.01.02.a</w:t>
            </w:r>
          </w:p>
          <w:p w:rsidR="00F61AEB" w:rsidRPr="007401CA" w:rsidRDefault="00F61AEB" w:rsidP="001412E4">
            <w:pPr>
              <w:spacing w:after="0" w:line="240" w:lineRule="auto"/>
              <w:jc w:val="center"/>
            </w:pPr>
            <w:r w:rsidRPr="007401CA">
              <w:t>PS.03.01.03.a</w:t>
            </w:r>
          </w:p>
          <w:p w:rsidR="00F61AEB" w:rsidRPr="007401CA" w:rsidRDefault="00F61AEB" w:rsidP="001412E4">
            <w:pPr>
              <w:spacing w:after="0" w:line="240" w:lineRule="auto"/>
              <w:jc w:val="center"/>
            </w:pPr>
            <w:r w:rsidRPr="007401CA">
              <w:t>PS.03.01.02.b</w:t>
            </w:r>
          </w:p>
          <w:p w:rsidR="00F61AEB" w:rsidRPr="007401CA" w:rsidRDefault="00F61AEB" w:rsidP="001412E4">
            <w:pPr>
              <w:spacing w:after="0" w:line="240" w:lineRule="auto"/>
              <w:jc w:val="center"/>
            </w:pPr>
            <w:r w:rsidRPr="007401CA">
              <w:t>PS.03.01.03.b</w:t>
            </w:r>
          </w:p>
          <w:p w:rsidR="00F61AEB" w:rsidRPr="007401CA" w:rsidRDefault="00F61AEB" w:rsidP="001412E4">
            <w:pPr>
              <w:spacing w:after="0" w:line="240" w:lineRule="auto"/>
              <w:jc w:val="center"/>
            </w:pPr>
            <w:r w:rsidRPr="007401CA">
              <w:t>PS.03.01.02.c</w:t>
            </w:r>
          </w:p>
          <w:p w:rsidR="00F61AEB" w:rsidRPr="007401CA" w:rsidRDefault="00F61AEB" w:rsidP="001412E4">
            <w:pPr>
              <w:spacing w:after="0" w:line="240" w:lineRule="auto"/>
              <w:jc w:val="center"/>
            </w:pPr>
            <w:r w:rsidRPr="007401CA">
              <w:t>PS.03.01.03.c</w:t>
            </w:r>
          </w:p>
        </w:tc>
        <w:tc>
          <w:tcPr>
            <w:tcW w:w="809" w:type="dxa"/>
            <w:shd w:val="clear" w:color="auto" w:fill="auto"/>
          </w:tcPr>
          <w:p w:rsidR="00F61AEB" w:rsidRPr="007401CA" w:rsidRDefault="00F61AEB" w:rsidP="001412E4">
            <w:pPr>
              <w:spacing w:after="0" w:line="240" w:lineRule="auto"/>
              <w:jc w:val="center"/>
            </w:pPr>
            <w:r w:rsidRPr="007401CA">
              <w:t>2</w:t>
            </w:r>
          </w:p>
          <w:p w:rsidR="00F61AEB" w:rsidRPr="007401CA" w:rsidRDefault="00F61AEB" w:rsidP="001412E4">
            <w:pPr>
              <w:spacing w:after="0" w:line="240" w:lineRule="auto"/>
              <w:jc w:val="center"/>
            </w:pPr>
            <w:r w:rsidRPr="007401CA">
              <w:t>3</w:t>
            </w:r>
          </w:p>
        </w:tc>
      </w:tr>
      <w:tr w:rsidR="00F61AEB" w:rsidTr="00225CBA">
        <w:trPr>
          <w:trHeight w:val="466"/>
        </w:trPr>
        <w:tc>
          <w:tcPr>
            <w:tcW w:w="4910" w:type="dxa"/>
            <w:gridSpan w:val="2"/>
          </w:tcPr>
          <w:p w:rsidR="00F61AEB" w:rsidRPr="00F61AEB" w:rsidRDefault="00F61AEB" w:rsidP="00F61AEB">
            <w:pPr>
              <w:pStyle w:val="ListParagraph"/>
              <w:numPr>
                <w:ilvl w:val="0"/>
                <w:numId w:val="19"/>
              </w:numPr>
              <w:spacing w:after="0" w:line="240" w:lineRule="auto"/>
              <w:rPr>
                <w:rFonts w:ascii="Times New Roman" w:hAnsi="Times New Roman"/>
              </w:rPr>
            </w:pPr>
            <w:r w:rsidRPr="00F61AEB">
              <w:rPr>
                <w:rFonts w:ascii="Times New Roman" w:hAnsi="Times New Roman"/>
              </w:rPr>
              <w:t>Unit: Apply principles of plant propagation by properly propagating a plant and describing the process in written form.</w:t>
            </w:r>
          </w:p>
        </w:tc>
        <w:tc>
          <w:tcPr>
            <w:tcW w:w="2805" w:type="dxa"/>
            <w:gridSpan w:val="2"/>
          </w:tcPr>
          <w:p w:rsidR="00F61AEB" w:rsidRPr="00C44E14" w:rsidRDefault="00F61AEB" w:rsidP="005A0F5D">
            <w:pPr>
              <w:spacing w:after="0" w:line="240" w:lineRule="auto"/>
              <w:rPr>
                <w:b/>
              </w:rPr>
            </w:pPr>
          </w:p>
        </w:tc>
        <w:tc>
          <w:tcPr>
            <w:tcW w:w="1144" w:type="dxa"/>
            <w:shd w:val="clear" w:color="auto" w:fill="auto"/>
          </w:tcPr>
          <w:p w:rsidR="00F61AEB" w:rsidRPr="00C44E14" w:rsidRDefault="00F61AEB" w:rsidP="005A0F5D">
            <w:pPr>
              <w:spacing w:after="0" w:line="240" w:lineRule="auto"/>
              <w:rPr>
                <w:b/>
              </w:rPr>
            </w:pPr>
          </w:p>
        </w:tc>
        <w:tc>
          <w:tcPr>
            <w:tcW w:w="695" w:type="dxa"/>
            <w:shd w:val="clear" w:color="auto" w:fill="auto"/>
          </w:tcPr>
          <w:p w:rsidR="00F61AEB" w:rsidRPr="00C44E14" w:rsidRDefault="00F61AEB" w:rsidP="005A0F5D">
            <w:pPr>
              <w:spacing w:after="0" w:line="240" w:lineRule="auto"/>
              <w:rPr>
                <w:b/>
              </w:rPr>
            </w:pPr>
          </w:p>
        </w:tc>
        <w:tc>
          <w:tcPr>
            <w:tcW w:w="1375" w:type="dxa"/>
            <w:shd w:val="clear" w:color="auto" w:fill="auto"/>
          </w:tcPr>
          <w:p w:rsidR="00F61AEB" w:rsidRPr="007401CA" w:rsidRDefault="00F61AEB" w:rsidP="001412E4">
            <w:pPr>
              <w:spacing w:after="0" w:line="240" w:lineRule="auto"/>
              <w:jc w:val="center"/>
            </w:pPr>
            <w:r>
              <w:t>W11-12.2</w:t>
            </w:r>
          </w:p>
          <w:p w:rsidR="00F61AEB" w:rsidRDefault="00F61AEB" w:rsidP="001412E4">
            <w:pPr>
              <w:spacing w:after="0" w:line="240" w:lineRule="auto"/>
              <w:jc w:val="center"/>
            </w:pPr>
            <w:r w:rsidRPr="007401CA">
              <w:t>RST11-12.3</w:t>
            </w:r>
          </w:p>
          <w:p w:rsidR="00F61AEB" w:rsidRPr="007401CA" w:rsidRDefault="00F61AEB" w:rsidP="001412E4">
            <w:pPr>
              <w:spacing w:after="0" w:line="240" w:lineRule="auto"/>
              <w:jc w:val="center"/>
            </w:pPr>
            <w:r>
              <w:t>RST11-12.9</w:t>
            </w:r>
          </w:p>
        </w:tc>
        <w:tc>
          <w:tcPr>
            <w:tcW w:w="1438" w:type="dxa"/>
            <w:shd w:val="clear" w:color="auto" w:fill="auto"/>
          </w:tcPr>
          <w:p w:rsidR="00F61AEB" w:rsidRPr="007401CA" w:rsidRDefault="00F61AEB" w:rsidP="001412E4">
            <w:pPr>
              <w:spacing w:after="0" w:line="240" w:lineRule="auto"/>
              <w:jc w:val="center"/>
            </w:pPr>
            <w:r w:rsidRPr="007401CA">
              <w:t>PS.03.01.02.a</w:t>
            </w:r>
          </w:p>
          <w:p w:rsidR="00F61AEB" w:rsidRPr="007401CA" w:rsidRDefault="00F61AEB" w:rsidP="001412E4">
            <w:pPr>
              <w:spacing w:after="0" w:line="240" w:lineRule="auto"/>
              <w:jc w:val="center"/>
            </w:pPr>
            <w:r w:rsidRPr="007401CA">
              <w:t>PS.03.01.03.a</w:t>
            </w:r>
          </w:p>
          <w:p w:rsidR="00F61AEB" w:rsidRPr="007401CA" w:rsidRDefault="00F61AEB" w:rsidP="001412E4">
            <w:pPr>
              <w:spacing w:after="0" w:line="240" w:lineRule="auto"/>
              <w:jc w:val="center"/>
            </w:pPr>
            <w:r w:rsidRPr="007401CA">
              <w:t>PS.03.01.02.b</w:t>
            </w:r>
          </w:p>
          <w:p w:rsidR="00F61AEB" w:rsidRPr="007401CA" w:rsidRDefault="00F61AEB" w:rsidP="001412E4">
            <w:pPr>
              <w:spacing w:after="0" w:line="240" w:lineRule="auto"/>
              <w:jc w:val="center"/>
            </w:pPr>
            <w:r w:rsidRPr="007401CA">
              <w:t>PS.03.01.03.b</w:t>
            </w:r>
          </w:p>
          <w:p w:rsidR="00F61AEB" w:rsidRPr="007401CA" w:rsidRDefault="00F61AEB" w:rsidP="001412E4">
            <w:pPr>
              <w:spacing w:after="0" w:line="240" w:lineRule="auto"/>
              <w:jc w:val="center"/>
            </w:pPr>
            <w:r w:rsidRPr="007401CA">
              <w:t>PS.03.01.02.c</w:t>
            </w:r>
          </w:p>
          <w:p w:rsidR="00F61AEB" w:rsidRPr="007401CA" w:rsidRDefault="00F61AEB" w:rsidP="001412E4">
            <w:pPr>
              <w:spacing w:after="0" w:line="240" w:lineRule="auto"/>
              <w:jc w:val="center"/>
            </w:pPr>
            <w:r w:rsidRPr="007401CA">
              <w:lastRenderedPageBreak/>
              <w:t>PS.03.01.03.c</w:t>
            </w:r>
          </w:p>
        </w:tc>
        <w:tc>
          <w:tcPr>
            <w:tcW w:w="809" w:type="dxa"/>
            <w:shd w:val="clear" w:color="auto" w:fill="auto"/>
          </w:tcPr>
          <w:p w:rsidR="00F61AEB" w:rsidRPr="007401CA" w:rsidRDefault="00F61AEB" w:rsidP="001412E4">
            <w:pPr>
              <w:spacing w:after="0" w:line="240" w:lineRule="auto"/>
              <w:jc w:val="center"/>
            </w:pPr>
            <w:r w:rsidRPr="007401CA">
              <w:lastRenderedPageBreak/>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225CBA" w:rsidRPr="009F5F3A" w:rsidRDefault="00225CBA" w:rsidP="00225CBA">
            <w:pPr>
              <w:pStyle w:val="zIndent1"/>
              <w:spacing w:after="120"/>
              <w:ind w:left="220"/>
              <w:rPr>
                <w:rFonts w:ascii="Times New Roman" w:hAnsi="Times New Roman"/>
                <w:sz w:val="22"/>
              </w:rPr>
            </w:pPr>
            <w:r w:rsidRPr="009F5F3A">
              <w:rPr>
                <w:rFonts w:ascii="Times New Roman" w:hAnsi="Times New Roman"/>
                <w:sz w:val="22"/>
              </w:rPr>
              <w:t xml:space="preserve">Each student will propagate a plant from the school’s greenhouse. After propagating the plant, students will write a procedure that will include the method used, materials required, and steps for the propagation method. Students will give the instructor the plant-cutting sample along with the written procedure. </w:t>
            </w:r>
          </w:p>
          <w:p w:rsidR="00225CBA" w:rsidRPr="009F5F3A" w:rsidRDefault="00225CBA" w:rsidP="00225CBA">
            <w:pPr>
              <w:spacing w:after="120" w:line="240" w:lineRule="auto"/>
              <w:ind w:left="220"/>
              <w:rPr>
                <w:rFonts w:ascii="Times New Roman" w:hAnsi="Times New Roman"/>
              </w:rPr>
            </w:pPr>
            <w:r w:rsidRPr="009F5F3A">
              <w:rPr>
                <w:rFonts w:ascii="Times New Roman" w:hAnsi="Times New Roman"/>
              </w:rPr>
              <w:t>Assessment will be based on the overall content of the written procedure and the quality of the propagated plant specimen. Spelling, grammar, punctuation, and capitalization will also be factors in the assessment.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6A06D1" w:rsidP="00C44E14">
            <w:pPr>
              <w:spacing w:line="240" w:lineRule="auto"/>
              <w:rPr>
                <w:noProof/>
              </w:rPr>
            </w:pPr>
            <w:r>
              <w:rPr>
                <w:noProof/>
              </w:rPr>
              <w:t>2</w:t>
            </w:r>
          </w:p>
        </w:tc>
        <w:tc>
          <w:tcPr>
            <w:tcW w:w="12348" w:type="dxa"/>
            <w:gridSpan w:val="8"/>
          </w:tcPr>
          <w:p w:rsidR="00D2622A" w:rsidRPr="00225CBA" w:rsidRDefault="00225CBA" w:rsidP="00225CBA">
            <w:pPr>
              <w:pStyle w:val="ListParagraph"/>
              <w:numPr>
                <w:ilvl w:val="0"/>
                <w:numId w:val="20"/>
              </w:numPr>
              <w:spacing w:line="240" w:lineRule="auto"/>
            </w:pPr>
            <w:r w:rsidRPr="00225CBA">
              <w:t>Lecture, discussion</w:t>
            </w:r>
          </w:p>
        </w:tc>
      </w:tr>
      <w:tr w:rsidR="00D2622A" w:rsidTr="00C44E14">
        <w:trPr>
          <w:trHeight w:val="359"/>
        </w:trPr>
        <w:tc>
          <w:tcPr>
            <w:tcW w:w="828" w:type="dxa"/>
          </w:tcPr>
          <w:p w:rsidR="00D2622A" w:rsidRPr="009505D0" w:rsidRDefault="006A06D1" w:rsidP="00C44E14">
            <w:pPr>
              <w:spacing w:line="240" w:lineRule="auto"/>
              <w:rPr>
                <w:noProof/>
              </w:rPr>
            </w:pPr>
            <w:r>
              <w:rPr>
                <w:noProof/>
              </w:rPr>
              <w:t>1, 3</w:t>
            </w:r>
          </w:p>
        </w:tc>
        <w:tc>
          <w:tcPr>
            <w:tcW w:w="12348" w:type="dxa"/>
            <w:gridSpan w:val="8"/>
          </w:tcPr>
          <w:p w:rsidR="00D2622A" w:rsidRPr="00225CBA" w:rsidRDefault="00225CBA" w:rsidP="00225CBA">
            <w:pPr>
              <w:pStyle w:val="ListParagraph"/>
              <w:numPr>
                <w:ilvl w:val="0"/>
                <w:numId w:val="20"/>
              </w:numPr>
              <w:spacing w:line="240" w:lineRule="auto"/>
            </w:pPr>
            <w:r w:rsidRPr="00225CBA">
              <w:t>Demonstration</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6A06D1" w:rsidP="00C44E14">
            <w:pPr>
              <w:spacing w:line="240" w:lineRule="auto"/>
              <w:rPr>
                <w:noProof/>
              </w:rPr>
            </w:pPr>
            <w:r>
              <w:rPr>
                <w:noProof/>
              </w:rPr>
              <w:t>2</w:t>
            </w:r>
          </w:p>
        </w:tc>
        <w:tc>
          <w:tcPr>
            <w:tcW w:w="12348" w:type="dxa"/>
            <w:gridSpan w:val="8"/>
          </w:tcPr>
          <w:p w:rsidR="003A7E69" w:rsidRPr="00225CBA" w:rsidRDefault="00225CBA" w:rsidP="00C44E14">
            <w:pPr>
              <w:numPr>
                <w:ilvl w:val="0"/>
                <w:numId w:val="21"/>
              </w:numPr>
              <w:spacing w:line="240" w:lineRule="auto"/>
              <w:rPr>
                <w:rFonts w:ascii="Times New Roman" w:hAnsi="Times New Roman"/>
              </w:rPr>
            </w:pPr>
            <w:r w:rsidRPr="009F5F3A">
              <w:rPr>
                <w:rFonts w:ascii="Times New Roman" w:hAnsi="Times New Roman"/>
              </w:rPr>
              <w:t xml:space="preserve">Students will </w:t>
            </w:r>
            <w:r>
              <w:rPr>
                <w:rFonts w:ascii="Times New Roman" w:hAnsi="Times New Roman"/>
              </w:rPr>
              <w:t>respond to</w:t>
            </w:r>
            <w:r w:rsidRPr="009F5F3A">
              <w:rPr>
                <w:rFonts w:ascii="Times New Roman" w:hAnsi="Times New Roman"/>
              </w:rPr>
              <w:t xml:space="preserve"> study questions in lessons 1 and 2.</w:t>
            </w:r>
          </w:p>
        </w:tc>
      </w:tr>
      <w:tr w:rsidR="003A7E69" w:rsidTr="00C44E14">
        <w:trPr>
          <w:trHeight w:val="466"/>
        </w:trPr>
        <w:tc>
          <w:tcPr>
            <w:tcW w:w="828" w:type="dxa"/>
          </w:tcPr>
          <w:p w:rsidR="003A7E69" w:rsidRPr="009505D0" w:rsidRDefault="006A06D1" w:rsidP="00C44E14">
            <w:pPr>
              <w:spacing w:line="240" w:lineRule="auto"/>
              <w:rPr>
                <w:noProof/>
              </w:rPr>
            </w:pPr>
            <w:r>
              <w:rPr>
                <w:noProof/>
              </w:rPr>
              <w:t>1, 3</w:t>
            </w:r>
          </w:p>
        </w:tc>
        <w:tc>
          <w:tcPr>
            <w:tcW w:w="12348" w:type="dxa"/>
            <w:gridSpan w:val="8"/>
          </w:tcPr>
          <w:p w:rsidR="003A7E69" w:rsidRPr="00225CBA" w:rsidRDefault="00225CBA" w:rsidP="00C44E14">
            <w:pPr>
              <w:numPr>
                <w:ilvl w:val="0"/>
                <w:numId w:val="21"/>
              </w:numPr>
              <w:spacing w:line="240" w:lineRule="auto"/>
              <w:rPr>
                <w:rFonts w:ascii="Times New Roman" w:hAnsi="Times New Roman"/>
              </w:rPr>
            </w:pPr>
            <w:r w:rsidRPr="009F5F3A">
              <w:rPr>
                <w:rFonts w:ascii="Times New Roman" w:hAnsi="Times New Roman"/>
              </w:rPr>
              <w:t>Students will complete “AS 5.1, Transplanting a Seedling”; “AS 5.2, Asexual Propagation”; and ‘AS 5.3, Budding and Tissue Culture.”</w:t>
            </w:r>
          </w:p>
        </w:tc>
      </w:tr>
      <w:tr w:rsidR="003A7E69" w:rsidTr="00C44E14">
        <w:trPr>
          <w:trHeight w:val="466"/>
        </w:trPr>
        <w:tc>
          <w:tcPr>
            <w:tcW w:w="828" w:type="dxa"/>
          </w:tcPr>
          <w:p w:rsidR="003A7E69" w:rsidRPr="009505D0" w:rsidRDefault="003A7E69" w:rsidP="00C44E14">
            <w:pPr>
              <w:spacing w:line="240" w:lineRule="auto"/>
              <w:rPr>
                <w:noProof/>
              </w:rPr>
            </w:pPr>
          </w:p>
        </w:tc>
        <w:tc>
          <w:tcPr>
            <w:tcW w:w="12348" w:type="dxa"/>
            <w:gridSpan w:val="8"/>
          </w:tcPr>
          <w:p w:rsidR="003A7E69" w:rsidRPr="00C44E14" w:rsidRDefault="00542E41" w:rsidP="00C44E14">
            <w:pPr>
              <w:spacing w:line="240" w:lineRule="auto"/>
              <w:rPr>
                <w:b/>
              </w:rPr>
            </w:pPr>
            <w:r>
              <w:rPr>
                <w:rFonts w:ascii="Times New Roman" w:hAnsi="Times New Roman"/>
              </w:rPr>
              <w:t xml:space="preserve">3.  </w:t>
            </w:r>
            <w:r w:rsidR="00225CBA" w:rsidRPr="009F5F3A">
              <w:rPr>
                <w:rFonts w:ascii="Times New Roman" w:hAnsi="Times New Roman"/>
              </w:rPr>
              <w:t>Additional activities that relate to the unit objective can be found under the heading “Other Activity and Strategy” in the following locations: p. 287 and p. 302.</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542E41" w:rsidRPr="009F5F3A" w:rsidRDefault="00542E41" w:rsidP="00542E41">
            <w:pPr>
              <w:numPr>
                <w:ilvl w:val="1"/>
                <w:numId w:val="21"/>
              </w:numPr>
              <w:spacing w:after="120"/>
              <w:rPr>
                <w:rFonts w:ascii="Times New Roman" w:hAnsi="Times New Roman"/>
              </w:rPr>
            </w:pPr>
            <w:r w:rsidRPr="009F5F3A">
              <w:rPr>
                <w:rFonts w:ascii="Times New Roman" w:hAnsi="Times New Roman"/>
                <w:i/>
              </w:rPr>
              <w:t>Greenhouse Operation and Management</w:t>
            </w:r>
            <w:r w:rsidRPr="009F5F3A">
              <w:rPr>
                <w:rFonts w:ascii="Times New Roman" w:hAnsi="Times New Roman"/>
              </w:rPr>
              <w:t>. University of Missouri-Columbia, Instructional Materials Laboratory, 2002.</w:t>
            </w:r>
          </w:p>
          <w:p w:rsidR="00542E41" w:rsidRPr="009F5F3A" w:rsidRDefault="00542E41" w:rsidP="00542E41">
            <w:pPr>
              <w:numPr>
                <w:ilvl w:val="1"/>
                <w:numId w:val="21"/>
              </w:numPr>
              <w:spacing w:after="120" w:line="240" w:lineRule="auto"/>
              <w:rPr>
                <w:rFonts w:ascii="Times New Roman" w:hAnsi="Times New Roman"/>
                <w:b/>
              </w:rPr>
            </w:pPr>
            <w:proofErr w:type="spellStart"/>
            <w:r w:rsidRPr="009F5F3A">
              <w:rPr>
                <w:rFonts w:ascii="Times New Roman" w:hAnsi="Times New Roman"/>
              </w:rPr>
              <w:t>Reiley</w:t>
            </w:r>
            <w:proofErr w:type="spellEnd"/>
            <w:r w:rsidRPr="009F5F3A">
              <w:rPr>
                <w:rFonts w:ascii="Times New Roman" w:hAnsi="Times New Roman"/>
              </w:rPr>
              <w:t xml:space="preserve">, H. E., &amp; </w:t>
            </w:r>
            <w:proofErr w:type="spellStart"/>
            <w:r w:rsidRPr="009F5F3A">
              <w:rPr>
                <w:rFonts w:ascii="Times New Roman" w:hAnsi="Times New Roman"/>
              </w:rPr>
              <w:t>Shry</w:t>
            </w:r>
            <w:proofErr w:type="spellEnd"/>
            <w:r w:rsidRPr="009F5F3A">
              <w:rPr>
                <w:rFonts w:ascii="Times New Roman" w:hAnsi="Times New Roman"/>
              </w:rPr>
              <w:t>, C. L., Jr.</w:t>
            </w:r>
            <w:r w:rsidRPr="009F5F3A">
              <w:rPr>
                <w:rFonts w:ascii="Times New Roman" w:hAnsi="Times New Roman"/>
                <w:i/>
                <w:iCs/>
              </w:rPr>
              <w:t xml:space="preserve"> Introductory Horticulture</w:t>
            </w:r>
            <w:r w:rsidRPr="009F5F3A">
              <w:rPr>
                <w:rFonts w:ascii="Times New Roman" w:hAnsi="Times New Roman"/>
              </w:rPr>
              <w:t>, 6</w:t>
            </w:r>
            <w:r w:rsidRPr="009F5F3A">
              <w:rPr>
                <w:rFonts w:ascii="Times New Roman" w:hAnsi="Times New Roman"/>
                <w:vertAlign w:val="superscript"/>
              </w:rPr>
              <w:t>th</w:t>
            </w:r>
            <w:r w:rsidRPr="009F5F3A">
              <w:rPr>
                <w:rFonts w:ascii="Times New Roman" w:hAnsi="Times New Roman"/>
              </w:rPr>
              <w:t xml:space="preserve"> ed., Delmar Learning, 2000.</w:t>
            </w:r>
          </w:p>
          <w:p w:rsidR="000F47EE" w:rsidRPr="00C44E14" w:rsidRDefault="000F47EE" w:rsidP="00BC4316">
            <w:pPr>
              <w:spacing w:line="240" w:lineRule="auto"/>
              <w:rPr>
                <w:b/>
              </w:rPr>
            </w:pP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1E0B7B">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1E0B7B">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977D49">
      <w:t>Plant Propagation</w:t>
    </w:r>
    <w:r w:rsidR="005A0F5D">
      <w:tab/>
    </w:r>
    <w:r w:rsidR="005A0F5D">
      <w:tab/>
    </w:r>
    <w:r w:rsidR="0094250B">
      <w:t>Course</w:t>
    </w:r>
    <w:r>
      <w:t xml:space="preserv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201D95"/>
    <w:multiLevelType w:val="hybridMultilevel"/>
    <w:tmpl w:val="721AD8B8"/>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452331"/>
    <w:multiLevelType w:val="hybridMultilevel"/>
    <w:tmpl w:val="96A4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83D92"/>
    <w:multiLevelType w:val="hybridMultilevel"/>
    <w:tmpl w:val="7FFEDB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4D27C5"/>
    <w:multiLevelType w:val="hybridMultilevel"/>
    <w:tmpl w:val="BA04D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2"/>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5"/>
  </w:num>
  <w:num w:numId="15">
    <w:abstractNumId w:val="13"/>
  </w:num>
  <w:num w:numId="16">
    <w:abstractNumId w:val="10"/>
  </w:num>
  <w:num w:numId="17">
    <w:abstractNumId w:val="11"/>
  </w:num>
  <w:num w:numId="18">
    <w:abstractNumId w:val="14"/>
  </w:num>
  <w:num w:numId="19">
    <w:abstractNumId w:val="17"/>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3D7D"/>
    <w:rsid w:val="000553C2"/>
    <w:rsid w:val="00075C23"/>
    <w:rsid w:val="000B1A54"/>
    <w:rsid w:val="000E2AB8"/>
    <w:rsid w:val="000F12AC"/>
    <w:rsid w:val="000F47EE"/>
    <w:rsid w:val="001270A2"/>
    <w:rsid w:val="0013604E"/>
    <w:rsid w:val="0015225E"/>
    <w:rsid w:val="001522D0"/>
    <w:rsid w:val="001731D1"/>
    <w:rsid w:val="001B1672"/>
    <w:rsid w:val="001B3773"/>
    <w:rsid w:val="001C64E7"/>
    <w:rsid w:val="001E0B7B"/>
    <w:rsid w:val="0020289B"/>
    <w:rsid w:val="00223F54"/>
    <w:rsid w:val="00225CBA"/>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0715"/>
    <w:rsid w:val="004633F6"/>
    <w:rsid w:val="00467E84"/>
    <w:rsid w:val="004871C5"/>
    <w:rsid w:val="004E48C1"/>
    <w:rsid w:val="004F514F"/>
    <w:rsid w:val="00522002"/>
    <w:rsid w:val="00526777"/>
    <w:rsid w:val="00542E41"/>
    <w:rsid w:val="00574E3C"/>
    <w:rsid w:val="005940E9"/>
    <w:rsid w:val="005A0F5D"/>
    <w:rsid w:val="00621267"/>
    <w:rsid w:val="006569A4"/>
    <w:rsid w:val="00695161"/>
    <w:rsid w:val="006A06D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77D49"/>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56C1A"/>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0541"/>
    <w:rsid w:val="00E372C1"/>
    <w:rsid w:val="00E55D0C"/>
    <w:rsid w:val="00E5640C"/>
    <w:rsid w:val="00E82EFB"/>
    <w:rsid w:val="00F072CD"/>
    <w:rsid w:val="00F25111"/>
    <w:rsid w:val="00F61AEB"/>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zIndent1">
    <w:name w:val="zIndent 1"/>
    <w:basedOn w:val="Normal"/>
    <w:rsid w:val="00225CBA"/>
    <w:pPr>
      <w:spacing w:after="0" w:line="240" w:lineRule="auto"/>
      <w:ind w:left="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3E52A-4CFF-49AB-9001-FC3C8D4B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2012-06-28T19:47:00Z</dcterms:created>
  <dcterms:modified xsi:type="dcterms:W3CDTF">2012-06-28T19:50:00Z</dcterms:modified>
</cp:coreProperties>
</file>