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023D7D" w:rsidRDefault="00023D7D" w:rsidP="00023D7D">
            <w:pPr>
              <w:autoSpaceDE w:val="0"/>
              <w:autoSpaceDN w:val="0"/>
              <w:adjustRightInd w:val="0"/>
              <w:spacing w:after="0" w:line="240" w:lineRule="auto"/>
              <w:rPr>
                <w:rFonts w:cs="Tahoma"/>
              </w:rPr>
            </w:pPr>
            <w:r w:rsidRPr="00461AF3">
              <w:rPr>
                <w:rFonts w:cs="Tahoma"/>
              </w:rPr>
              <w:t xml:space="preserve">The Greenhouse Operation and Management course develops a basic understanding of greenhouse techniques. The production of greenhouse crops will be used to demonstrate procedures such as plants started from cuttings, seeds, grafts, and layering. Students will manage their own crop as a greenhouse project. (CD 016765, CIP 01.0604) </w:t>
            </w:r>
          </w:p>
          <w:p w:rsidR="00023D7D" w:rsidRDefault="00023D7D" w:rsidP="00023D7D">
            <w:pPr>
              <w:autoSpaceDE w:val="0"/>
              <w:autoSpaceDN w:val="0"/>
              <w:adjustRightInd w:val="0"/>
              <w:spacing w:after="0" w:line="240" w:lineRule="auto"/>
              <w:rPr>
                <w:rFonts w:cs="Tahoma"/>
              </w:rPr>
            </w:pPr>
          </w:p>
          <w:p w:rsidR="00023D7D" w:rsidRPr="00461AF3" w:rsidRDefault="00023D7D" w:rsidP="00023D7D">
            <w:pPr>
              <w:autoSpaceDE w:val="0"/>
              <w:autoSpaceDN w:val="0"/>
              <w:adjustRightInd w:val="0"/>
              <w:spacing w:after="0" w:line="240" w:lineRule="auto"/>
              <w:rPr>
                <w:rFonts w:cs="Tahoma"/>
              </w:rPr>
            </w:pPr>
            <w:r w:rsidRPr="00461AF3">
              <w:rPr>
                <w:rFonts w:cs="Tahoma"/>
              </w:rPr>
              <w:t>Course Rationale – Agriculture encompasses the food, fiber, conservation and natural resource systems, employing over 20% of the nation’s workforce. Cutting, seeding, grafting, layering, and management of a greenhouse provide entry level and entrepreneurial opportunities for students with an interest in horticulture.</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3908"/>
        <w:gridCol w:w="2567"/>
        <w:gridCol w:w="199"/>
        <w:gridCol w:w="1144"/>
        <w:gridCol w:w="682"/>
        <w:gridCol w:w="1365"/>
        <w:gridCol w:w="1683"/>
        <w:gridCol w:w="800"/>
      </w:tblGrid>
      <w:tr w:rsidR="00DD40DF" w:rsidRPr="00DD40DF" w:rsidTr="00BE058E">
        <w:tc>
          <w:tcPr>
            <w:tcW w:w="7303"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355765" w:rsidRPr="00355765" w:rsidRDefault="00A37EC8" w:rsidP="00C44E14">
            <w:pPr>
              <w:spacing w:line="240" w:lineRule="auto"/>
            </w:pPr>
            <w:r>
              <w:t xml:space="preserve">Students will learn about Greenhouse business management, including planning a </w:t>
            </w:r>
            <w:proofErr w:type="gramStart"/>
            <w:r>
              <w:t>commercial  crop</w:t>
            </w:r>
            <w:proofErr w:type="gramEnd"/>
            <w:r>
              <w:t xml:space="preserve"> and creating a marketing plan.</w:t>
            </w:r>
            <w:bookmarkStart w:id="0" w:name="_GoBack"/>
            <w:bookmarkEnd w:id="0"/>
          </w:p>
          <w:p w:rsidR="0013604E" w:rsidRPr="00C44E14" w:rsidRDefault="0013604E" w:rsidP="00C44E14">
            <w:pPr>
              <w:spacing w:line="240" w:lineRule="auto"/>
              <w:rPr>
                <w:b/>
              </w:rPr>
            </w:pPr>
          </w:p>
        </w:tc>
        <w:tc>
          <w:tcPr>
            <w:tcW w:w="5873"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BE058E">
              <w:rPr>
                <w:b/>
              </w:rPr>
              <w:t xml:space="preserve">  2</w:t>
            </w:r>
            <w:r w:rsidR="005A0F5D">
              <w:rPr>
                <w:b/>
              </w:rPr>
              <w:t xml:space="preserve">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BE058E" w:rsidRPr="001505D1" w:rsidRDefault="00BE058E" w:rsidP="00BE058E">
            <w:pPr>
              <w:spacing w:line="240" w:lineRule="auto"/>
              <w:rPr>
                <w:rFonts w:cs="Calibri"/>
              </w:rPr>
            </w:pPr>
            <w:r w:rsidRPr="001505D1">
              <w:rPr>
                <w:rFonts w:cs="Calibri"/>
              </w:rPr>
              <w:t>1.  How are greenhouse crops marketed?</w:t>
            </w:r>
          </w:p>
          <w:p w:rsidR="00DD40DF" w:rsidRPr="00C44E14" w:rsidRDefault="00BE058E" w:rsidP="00BE058E">
            <w:pPr>
              <w:spacing w:line="240" w:lineRule="auto"/>
              <w:rPr>
                <w:b/>
              </w:rPr>
            </w:pPr>
            <w:r w:rsidRPr="001505D1">
              <w:rPr>
                <w:rFonts w:cs="Calibri"/>
              </w:rPr>
              <w:t>2.  What is involved in producing and marketing a greenhouse crop?</w:t>
            </w: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BE058E">
        <w:trPr>
          <w:trHeight w:val="467"/>
        </w:trPr>
        <w:tc>
          <w:tcPr>
            <w:tcW w:w="4736"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66"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674" w:type="dxa"/>
            <w:gridSpan w:val="5"/>
          </w:tcPr>
          <w:p w:rsidR="008322A8" w:rsidRPr="00C44E14" w:rsidRDefault="008322A8" w:rsidP="00C44E14">
            <w:pPr>
              <w:spacing w:line="240" w:lineRule="auto"/>
              <w:jc w:val="center"/>
              <w:rPr>
                <w:b/>
              </w:rPr>
            </w:pPr>
            <w:r w:rsidRPr="00C44E14">
              <w:rPr>
                <w:b/>
              </w:rPr>
              <w:t>CROSSWALK TO STANDARDS</w:t>
            </w:r>
          </w:p>
        </w:tc>
      </w:tr>
      <w:tr w:rsidR="00321BC1" w:rsidTr="00BE058E">
        <w:trPr>
          <w:trHeight w:val="466"/>
        </w:trPr>
        <w:tc>
          <w:tcPr>
            <w:tcW w:w="4736" w:type="dxa"/>
            <w:gridSpan w:val="2"/>
            <w:vMerge/>
          </w:tcPr>
          <w:p w:rsidR="00321BC1" w:rsidRPr="00C44E14" w:rsidRDefault="00321BC1" w:rsidP="00C44E14">
            <w:pPr>
              <w:spacing w:line="240" w:lineRule="auto"/>
              <w:jc w:val="center"/>
              <w:rPr>
                <w:b/>
              </w:rPr>
            </w:pPr>
          </w:p>
        </w:tc>
        <w:tc>
          <w:tcPr>
            <w:tcW w:w="2766"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82" w:type="dxa"/>
            <w:shd w:val="clear" w:color="auto" w:fill="auto"/>
          </w:tcPr>
          <w:p w:rsidR="00321BC1" w:rsidRPr="00C44E14" w:rsidRDefault="00321BC1" w:rsidP="00C44E14">
            <w:pPr>
              <w:spacing w:line="240" w:lineRule="auto"/>
              <w:jc w:val="center"/>
              <w:rPr>
                <w:b/>
              </w:rPr>
            </w:pPr>
            <w:r w:rsidRPr="00C44E14">
              <w:rPr>
                <w:b/>
              </w:rPr>
              <w:t>PS</w:t>
            </w:r>
          </w:p>
        </w:tc>
        <w:tc>
          <w:tcPr>
            <w:tcW w:w="1365" w:type="dxa"/>
          </w:tcPr>
          <w:p w:rsidR="00321BC1" w:rsidRPr="00C44E14" w:rsidRDefault="00321BC1" w:rsidP="00C44E14">
            <w:pPr>
              <w:spacing w:line="240" w:lineRule="auto"/>
              <w:jc w:val="center"/>
              <w:rPr>
                <w:b/>
              </w:rPr>
            </w:pPr>
            <w:r w:rsidRPr="00C44E14">
              <w:rPr>
                <w:b/>
              </w:rPr>
              <w:t>CCSS</w:t>
            </w:r>
          </w:p>
        </w:tc>
        <w:tc>
          <w:tcPr>
            <w:tcW w:w="1683" w:type="dxa"/>
          </w:tcPr>
          <w:p w:rsidR="00321BC1" w:rsidRPr="00C44E14" w:rsidRDefault="00BE058E" w:rsidP="00C44E14">
            <w:pPr>
              <w:spacing w:line="240" w:lineRule="auto"/>
              <w:jc w:val="center"/>
              <w:rPr>
                <w:b/>
              </w:rPr>
            </w:pPr>
            <w:r>
              <w:rPr>
                <w:b/>
              </w:rPr>
              <w:t>AFNR Standards</w:t>
            </w:r>
          </w:p>
        </w:tc>
        <w:tc>
          <w:tcPr>
            <w:tcW w:w="800" w:type="dxa"/>
          </w:tcPr>
          <w:p w:rsidR="00321BC1" w:rsidRPr="00C44E14" w:rsidRDefault="00321BC1" w:rsidP="00C44E14">
            <w:pPr>
              <w:spacing w:line="240" w:lineRule="auto"/>
              <w:jc w:val="center"/>
              <w:rPr>
                <w:b/>
              </w:rPr>
            </w:pPr>
            <w:r w:rsidRPr="00C44E14">
              <w:rPr>
                <w:b/>
              </w:rPr>
              <w:t>DOK</w:t>
            </w:r>
          </w:p>
        </w:tc>
      </w:tr>
      <w:tr w:rsidR="00BE058E" w:rsidTr="00BE058E">
        <w:trPr>
          <w:trHeight w:val="466"/>
        </w:trPr>
        <w:tc>
          <w:tcPr>
            <w:tcW w:w="4736" w:type="dxa"/>
            <w:gridSpan w:val="2"/>
          </w:tcPr>
          <w:p w:rsidR="00BE058E" w:rsidRPr="00BE058E" w:rsidRDefault="00BE058E" w:rsidP="00BE058E">
            <w:pPr>
              <w:pStyle w:val="ListParagraph"/>
              <w:numPr>
                <w:ilvl w:val="0"/>
                <w:numId w:val="19"/>
              </w:numPr>
              <w:spacing w:after="0" w:line="240" w:lineRule="auto"/>
              <w:rPr>
                <w:rFonts w:ascii="Times New Roman" w:hAnsi="Times New Roman"/>
              </w:rPr>
            </w:pPr>
            <w:r w:rsidRPr="00BE058E">
              <w:rPr>
                <w:rFonts w:ascii="Times New Roman" w:hAnsi="Times New Roman"/>
              </w:rPr>
              <w:t>Plan a commercial crop.</w:t>
            </w:r>
          </w:p>
        </w:tc>
        <w:tc>
          <w:tcPr>
            <w:tcW w:w="2766" w:type="dxa"/>
            <w:gridSpan w:val="2"/>
          </w:tcPr>
          <w:p w:rsidR="00BE058E" w:rsidRPr="00C44E14" w:rsidRDefault="00BE058E" w:rsidP="005A0F5D">
            <w:pPr>
              <w:spacing w:after="0" w:line="240" w:lineRule="auto"/>
              <w:rPr>
                <w:b/>
              </w:rPr>
            </w:pPr>
          </w:p>
        </w:tc>
        <w:tc>
          <w:tcPr>
            <w:tcW w:w="1144" w:type="dxa"/>
            <w:shd w:val="clear" w:color="auto" w:fill="auto"/>
          </w:tcPr>
          <w:p w:rsidR="00BE058E" w:rsidRPr="00C44E14" w:rsidRDefault="00BE058E" w:rsidP="005A0F5D">
            <w:pPr>
              <w:spacing w:after="0" w:line="240" w:lineRule="auto"/>
              <w:rPr>
                <w:b/>
              </w:rPr>
            </w:pPr>
          </w:p>
        </w:tc>
        <w:tc>
          <w:tcPr>
            <w:tcW w:w="682" w:type="dxa"/>
            <w:shd w:val="clear" w:color="auto" w:fill="auto"/>
          </w:tcPr>
          <w:p w:rsidR="00BE058E" w:rsidRPr="00C44E14" w:rsidRDefault="00BE058E" w:rsidP="005A0F5D">
            <w:pPr>
              <w:spacing w:after="0" w:line="240" w:lineRule="auto"/>
              <w:rPr>
                <w:b/>
              </w:rPr>
            </w:pPr>
          </w:p>
        </w:tc>
        <w:tc>
          <w:tcPr>
            <w:tcW w:w="1365" w:type="dxa"/>
            <w:shd w:val="clear" w:color="auto" w:fill="auto"/>
          </w:tcPr>
          <w:p w:rsidR="00BE058E" w:rsidRDefault="00BE058E" w:rsidP="001412E4">
            <w:pPr>
              <w:spacing w:after="0" w:line="240" w:lineRule="auto"/>
              <w:jc w:val="center"/>
            </w:pPr>
            <w:r>
              <w:t>RI</w:t>
            </w:r>
            <w:r w:rsidRPr="00B30831">
              <w:t>11-12.7</w:t>
            </w:r>
          </w:p>
          <w:p w:rsidR="00BE058E" w:rsidRDefault="00BE058E" w:rsidP="001412E4">
            <w:pPr>
              <w:spacing w:after="0" w:line="240" w:lineRule="auto"/>
              <w:jc w:val="center"/>
            </w:pPr>
            <w:r>
              <w:t>RH11-12.7</w:t>
            </w:r>
          </w:p>
          <w:p w:rsidR="00BE058E" w:rsidRDefault="00BE058E" w:rsidP="001412E4">
            <w:pPr>
              <w:spacing w:after="0" w:line="240" w:lineRule="auto"/>
              <w:jc w:val="center"/>
            </w:pPr>
            <w:r>
              <w:t>RST11-12.3</w:t>
            </w:r>
          </w:p>
          <w:p w:rsidR="00BE058E" w:rsidRPr="00B30831" w:rsidRDefault="00BE058E" w:rsidP="001412E4">
            <w:pPr>
              <w:spacing w:after="0" w:line="240" w:lineRule="auto"/>
              <w:jc w:val="center"/>
            </w:pPr>
            <w:r>
              <w:t>RST11-12.9</w:t>
            </w:r>
          </w:p>
          <w:p w:rsidR="00BE058E" w:rsidRPr="00B30831" w:rsidRDefault="00BE058E" w:rsidP="001412E4">
            <w:pPr>
              <w:spacing w:after="0" w:line="240" w:lineRule="auto"/>
              <w:jc w:val="center"/>
            </w:pPr>
            <w:r w:rsidRPr="00B30831">
              <w:t>A-SSE.3</w:t>
            </w:r>
          </w:p>
          <w:p w:rsidR="00BE058E" w:rsidRPr="00B30831" w:rsidRDefault="00BE058E" w:rsidP="001412E4">
            <w:pPr>
              <w:spacing w:after="0" w:line="240" w:lineRule="auto"/>
              <w:jc w:val="center"/>
            </w:pPr>
            <w:r w:rsidRPr="00B30831">
              <w:t>Modeling</w:t>
            </w:r>
          </w:p>
        </w:tc>
        <w:tc>
          <w:tcPr>
            <w:tcW w:w="1683" w:type="dxa"/>
            <w:shd w:val="clear" w:color="auto" w:fill="auto"/>
          </w:tcPr>
          <w:p w:rsidR="00BE058E" w:rsidRPr="00B30831" w:rsidRDefault="00BE058E" w:rsidP="001412E4">
            <w:pPr>
              <w:spacing w:after="0" w:line="240" w:lineRule="auto"/>
              <w:jc w:val="center"/>
            </w:pPr>
            <w:r w:rsidRPr="00B30831">
              <w:t>PS.03.02.05.b</w:t>
            </w:r>
          </w:p>
          <w:p w:rsidR="00BE058E" w:rsidRPr="00B30831" w:rsidRDefault="00BE058E" w:rsidP="001412E4">
            <w:pPr>
              <w:spacing w:after="0" w:line="240" w:lineRule="auto"/>
              <w:jc w:val="center"/>
            </w:pPr>
            <w:r w:rsidRPr="00B30831">
              <w:t>ABS.04.01.02.b</w:t>
            </w:r>
          </w:p>
          <w:p w:rsidR="00BE058E" w:rsidRPr="00B30831" w:rsidRDefault="00BE058E" w:rsidP="001412E4">
            <w:pPr>
              <w:spacing w:after="0" w:line="240" w:lineRule="auto"/>
              <w:jc w:val="center"/>
            </w:pPr>
            <w:r w:rsidRPr="00B30831">
              <w:t>ABS.07.02.01.b</w:t>
            </w:r>
          </w:p>
          <w:p w:rsidR="00BE058E" w:rsidRPr="00B30831" w:rsidRDefault="00BE058E" w:rsidP="001412E4">
            <w:pPr>
              <w:spacing w:after="0" w:line="240" w:lineRule="auto"/>
              <w:jc w:val="center"/>
            </w:pPr>
          </w:p>
        </w:tc>
        <w:tc>
          <w:tcPr>
            <w:tcW w:w="800" w:type="dxa"/>
            <w:shd w:val="clear" w:color="auto" w:fill="auto"/>
          </w:tcPr>
          <w:p w:rsidR="00BE058E" w:rsidRPr="00B30831" w:rsidRDefault="00BE058E" w:rsidP="001412E4">
            <w:pPr>
              <w:spacing w:after="0" w:line="240" w:lineRule="auto"/>
              <w:jc w:val="center"/>
            </w:pPr>
            <w:r w:rsidRPr="00B30831">
              <w:t>3</w:t>
            </w:r>
          </w:p>
        </w:tc>
      </w:tr>
      <w:tr w:rsidR="00BE058E" w:rsidTr="00BE058E">
        <w:trPr>
          <w:trHeight w:val="466"/>
        </w:trPr>
        <w:tc>
          <w:tcPr>
            <w:tcW w:w="4736" w:type="dxa"/>
            <w:gridSpan w:val="2"/>
          </w:tcPr>
          <w:p w:rsidR="00BE058E" w:rsidRPr="00BE058E" w:rsidRDefault="00BE058E" w:rsidP="00BE058E">
            <w:pPr>
              <w:pStyle w:val="ListParagraph"/>
              <w:numPr>
                <w:ilvl w:val="0"/>
                <w:numId w:val="19"/>
              </w:numPr>
              <w:spacing w:after="0" w:line="240" w:lineRule="auto"/>
              <w:rPr>
                <w:rFonts w:ascii="Times New Roman" w:hAnsi="Times New Roman"/>
              </w:rPr>
            </w:pPr>
            <w:r w:rsidRPr="00BE058E">
              <w:rPr>
                <w:rFonts w:ascii="Times New Roman" w:hAnsi="Times New Roman"/>
              </w:rPr>
              <w:t>Develop a basic marketing plan.</w:t>
            </w:r>
          </w:p>
        </w:tc>
        <w:tc>
          <w:tcPr>
            <w:tcW w:w="2766" w:type="dxa"/>
            <w:gridSpan w:val="2"/>
          </w:tcPr>
          <w:p w:rsidR="00BE058E" w:rsidRPr="00C44E14" w:rsidRDefault="00BE058E" w:rsidP="005A0F5D">
            <w:pPr>
              <w:spacing w:after="0" w:line="240" w:lineRule="auto"/>
              <w:rPr>
                <w:b/>
              </w:rPr>
            </w:pPr>
          </w:p>
        </w:tc>
        <w:tc>
          <w:tcPr>
            <w:tcW w:w="1144" w:type="dxa"/>
            <w:shd w:val="clear" w:color="auto" w:fill="auto"/>
          </w:tcPr>
          <w:p w:rsidR="00BE058E" w:rsidRPr="00C44E14" w:rsidRDefault="00BE058E" w:rsidP="005A0F5D">
            <w:pPr>
              <w:spacing w:after="0" w:line="240" w:lineRule="auto"/>
              <w:rPr>
                <w:b/>
              </w:rPr>
            </w:pPr>
          </w:p>
        </w:tc>
        <w:tc>
          <w:tcPr>
            <w:tcW w:w="682" w:type="dxa"/>
            <w:shd w:val="clear" w:color="auto" w:fill="auto"/>
          </w:tcPr>
          <w:p w:rsidR="00BE058E" w:rsidRPr="00C44E14" w:rsidRDefault="00BE058E" w:rsidP="005A0F5D">
            <w:pPr>
              <w:spacing w:after="0" w:line="240" w:lineRule="auto"/>
              <w:rPr>
                <w:b/>
              </w:rPr>
            </w:pPr>
          </w:p>
        </w:tc>
        <w:tc>
          <w:tcPr>
            <w:tcW w:w="1365" w:type="dxa"/>
            <w:shd w:val="clear" w:color="auto" w:fill="auto"/>
          </w:tcPr>
          <w:p w:rsidR="00BE058E" w:rsidRDefault="00BE058E" w:rsidP="001412E4">
            <w:pPr>
              <w:spacing w:after="0" w:line="240" w:lineRule="auto"/>
              <w:jc w:val="center"/>
            </w:pPr>
            <w:r>
              <w:t>RI</w:t>
            </w:r>
            <w:r w:rsidRPr="00B30831">
              <w:t>11-12.7</w:t>
            </w:r>
          </w:p>
          <w:p w:rsidR="00BE058E" w:rsidRDefault="00BE058E" w:rsidP="001412E4">
            <w:pPr>
              <w:spacing w:after="0" w:line="240" w:lineRule="auto"/>
              <w:jc w:val="center"/>
            </w:pPr>
            <w:r>
              <w:t>RH11-12.7</w:t>
            </w:r>
          </w:p>
          <w:p w:rsidR="00BE058E" w:rsidRDefault="00BE058E" w:rsidP="001412E4">
            <w:pPr>
              <w:spacing w:after="0" w:line="240" w:lineRule="auto"/>
              <w:jc w:val="center"/>
            </w:pPr>
            <w:r>
              <w:t>RST11-12.9</w:t>
            </w:r>
          </w:p>
          <w:p w:rsidR="00BE058E" w:rsidRPr="00B30831" w:rsidRDefault="00BE058E" w:rsidP="001412E4">
            <w:pPr>
              <w:spacing w:after="0" w:line="240" w:lineRule="auto"/>
              <w:jc w:val="center"/>
            </w:pPr>
            <w:r>
              <w:t>WHST11-12.2</w:t>
            </w:r>
          </w:p>
          <w:p w:rsidR="00BE058E" w:rsidRPr="00C8609E" w:rsidRDefault="00BE058E" w:rsidP="001412E4">
            <w:pPr>
              <w:spacing w:after="0" w:line="240" w:lineRule="auto"/>
              <w:jc w:val="center"/>
            </w:pPr>
            <w:r w:rsidRPr="00C8609E">
              <w:t>A-SSE.3</w:t>
            </w:r>
          </w:p>
          <w:p w:rsidR="00BE058E" w:rsidRPr="00B30831" w:rsidRDefault="00BE058E" w:rsidP="001412E4">
            <w:pPr>
              <w:spacing w:after="0" w:line="240" w:lineRule="auto"/>
              <w:jc w:val="center"/>
            </w:pPr>
            <w:r w:rsidRPr="00B30831">
              <w:t>Modeling</w:t>
            </w:r>
          </w:p>
        </w:tc>
        <w:tc>
          <w:tcPr>
            <w:tcW w:w="1683" w:type="dxa"/>
            <w:shd w:val="clear" w:color="auto" w:fill="auto"/>
          </w:tcPr>
          <w:p w:rsidR="00BE058E" w:rsidRPr="00BE058E" w:rsidRDefault="00BE058E" w:rsidP="001412E4">
            <w:pPr>
              <w:spacing w:after="0" w:line="240" w:lineRule="auto"/>
              <w:jc w:val="center"/>
              <w:rPr>
                <w:lang w:val="de-DE"/>
              </w:rPr>
            </w:pPr>
            <w:r w:rsidRPr="00BE058E">
              <w:rPr>
                <w:lang w:val="de-DE"/>
              </w:rPr>
              <w:t>ABS.04.01.02.b</w:t>
            </w:r>
          </w:p>
          <w:p w:rsidR="00BE058E" w:rsidRPr="00BE058E" w:rsidRDefault="00BE058E" w:rsidP="001412E4">
            <w:pPr>
              <w:spacing w:after="0" w:line="240" w:lineRule="auto"/>
              <w:jc w:val="center"/>
              <w:rPr>
                <w:lang w:val="de-DE"/>
              </w:rPr>
            </w:pPr>
            <w:r w:rsidRPr="00BE058E">
              <w:rPr>
                <w:lang w:val="de-DE"/>
              </w:rPr>
              <w:t>ABS.06.02.01.b</w:t>
            </w:r>
          </w:p>
          <w:p w:rsidR="00BE058E" w:rsidRPr="00BE058E" w:rsidRDefault="00BE058E" w:rsidP="001412E4">
            <w:pPr>
              <w:spacing w:after="0" w:line="240" w:lineRule="auto"/>
              <w:jc w:val="center"/>
              <w:rPr>
                <w:lang w:val="de-DE"/>
              </w:rPr>
            </w:pPr>
            <w:r w:rsidRPr="00BE058E">
              <w:rPr>
                <w:lang w:val="de-DE"/>
              </w:rPr>
              <w:t>ABS.06.05.02.b</w:t>
            </w:r>
          </w:p>
          <w:p w:rsidR="00BE058E" w:rsidRPr="00B30831" w:rsidRDefault="00BE058E" w:rsidP="001412E4">
            <w:pPr>
              <w:spacing w:after="0" w:line="240" w:lineRule="auto"/>
              <w:jc w:val="center"/>
            </w:pPr>
            <w:r w:rsidRPr="00B30831">
              <w:t>ABS.07.02.01.b</w:t>
            </w:r>
          </w:p>
          <w:p w:rsidR="00BE058E" w:rsidRPr="00B30831" w:rsidRDefault="00BE058E" w:rsidP="001412E4">
            <w:pPr>
              <w:spacing w:after="0" w:line="240" w:lineRule="auto"/>
              <w:jc w:val="center"/>
            </w:pPr>
            <w:r w:rsidRPr="00B30831">
              <w:t>ABS.07.02.02.b</w:t>
            </w:r>
          </w:p>
        </w:tc>
        <w:tc>
          <w:tcPr>
            <w:tcW w:w="800" w:type="dxa"/>
            <w:shd w:val="clear" w:color="auto" w:fill="auto"/>
          </w:tcPr>
          <w:p w:rsidR="00BE058E" w:rsidRPr="00B30831" w:rsidRDefault="00BE058E" w:rsidP="001412E4">
            <w:pPr>
              <w:spacing w:after="0" w:line="240" w:lineRule="auto"/>
              <w:jc w:val="center"/>
            </w:pPr>
            <w:r w:rsidRPr="00B30831">
              <w:t>3</w:t>
            </w:r>
          </w:p>
        </w:tc>
      </w:tr>
      <w:tr w:rsidR="00BE058E" w:rsidTr="00BE058E">
        <w:trPr>
          <w:trHeight w:val="466"/>
        </w:trPr>
        <w:tc>
          <w:tcPr>
            <w:tcW w:w="4736" w:type="dxa"/>
            <w:gridSpan w:val="2"/>
          </w:tcPr>
          <w:p w:rsidR="00BE058E" w:rsidRPr="00BE058E" w:rsidRDefault="00BE058E" w:rsidP="00BE058E">
            <w:pPr>
              <w:pStyle w:val="ListParagraph"/>
              <w:numPr>
                <w:ilvl w:val="0"/>
                <w:numId w:val="19"/>
              </w:numPr>
              <w:spacing w:after="0" w:line="240" w:lineRule="auto"/>
              <w:rPr>
                <w:rFonts w:ascii="Times New Roman" w:hAnsi="Times New Roman"/>
              </w:rPr>
            </w:pPr>
            <w:r w:rsidRPr="00BE058E">
              <w:rPr>
                <w:rFonts w:ascii="Times New Roman" w:hAnsi="Times New Roman"/>
              </w:rPr>
              <w:t xml:space="preserve">Unit:  Apply principles of greenhouse business management by generating a cost analysis and </w:t>
            </w:r>
            <w:r w:rsidRPr="00BE058E">
              <w:rPr>
                <w:rFonts w:ascii="Times New Roman" w:hAnsi="Times New Roman"/>
              </w:rPr>
              <w:lastRenderedPageBreak/>
              <w:t>marketing plan for a greenhouse.</w:t>
            </w:r>
          </w:p>
        </w:tc>
        <w:tc>
          <w:tcPr>
            <w:tcW w:w="2766" w:type="dxa"/>
            <w:gridSpan w:val="2"/>
          </w:tcPr>
          <w:p w:rsidR="00BE058E" w:rsidRPr="00C44E14" w:rsidRDefault="00BE058E" w:rsidP="005A0F5D">
            <w:pPr>
              <w:spacing w:after="0" w:line="240" w:lineRule="auto"/>
              <w:rPr>
                <w:b/>
              </w:rPr>
            </w:pPr>
          </w:p>
        </w:tc>
        <w:tc>
          <w:tcPr>
            <w:tcW w:w="1144" w:type="dxa"/>
            <w:shd w:val="clear" w:color="auto" w:fill="auto"/>
          </w:tcPr>
          <w:p w:rsidR="00BE058E" w:rsidRPr="00C44E14" w:rsidRDefault="00BE058E" w:rsidP="005A0F5D">
            <w:pPr>
              <w:spacing w:after="0" w:line="240" w:lineRule="auto"/>
              <w:rPr>
                <w:b/>
              </w:rPr>
            </w:pPr>
          </w:p>
        </w:tc>
        <w:tc>
          <w:tcPr>
            <w:tcW w:w="682" w:type="dxa"/>
            <w:shd w:val="clear" w:color="auto" w:fill="auto"/>
          </w:tcPr>
          <w:p w:rsidR="00BE058E" w:rsidRPr="00C44E14" w:rsidRDefault="00BE058E" w:rsidP="005A0F5D">
            <w:pPr>
              <w:spacing w:after="0" w:line="240" w:lineRule="auto"/>
              <w:rPr>
                <w:b/>
              </w:rPr>
            </w:pPr>
          </w:p>
        </w:tc>
        <w:tc>
          <w:tcPr>
            <w:tcW w:w="1365" w:type="dxa"/>
            <w:shd w:val="clear" w:color="auto" w:fill="auto"/>
          </w:tcPr>
          <w:p w:rsidR="00BE058E" w:rsidRDefault="00BE058E" w:rsidP="001412E4">
            <w:pPr>
              <w:spacing w:after="0" w:line="240" w:lineRule="auto"/>
              <w:jc w:val="center"/>
            </w:pPr>
            <w:r>
              <w:t>RI</w:t>
            </w:r>
            <w:r w:rsidRPr="00B30831">
              <w:t>11-12.7</w:t>
            </w:r>
          </w:p>
          <w:p w:rsidR="00BE058E" w:rsidRDefault="00BE058E" w:rsidP="001412E4">
            <w:pPr>
              <w:spacing w:after="0" w:line="240" w:lineRule="auto"/>
              <w:jc w:val="center"/>
            </w:pPr>
            <w:r>
              <w:t>RH11-12.7</w:t>
            </w:r>
          </w:p>
          <w:p w:rsidR="00BE058E" w:rsidRDefault="00BE058E" w:rsidP="001412E4">
            <w:pPr>
              <w:spacing w:after="0" w:line="240" w:lineRule="auto"/>
              <w:jc w:val="center"/>
            </w:pPr>
            <w:r>
              <w:lastRenderedPageBreak/>
              <w:t>RST11-12.9</w:t>
            </w:r>
          </w:p>
          <w:p w:rsidR="00BE058E" w:rsidRPr="00B30831" w:rsidRDefault="00BE058E" w:rsidP="001412E4">
            <w:pPr>
              <w:spacing w:after="0" w:line="240" w:lineRule="auto"/>
              <w:jc w:val="center"/>
            </w:pPr>
            <w:r>
              <w:t>WHST11-12.2</w:t>
            </w:r>
          </w:p>
          <w:p w:rsidR="00BE058E" w:rsidRPr="00C8609E" w:rsidRDefault="00BE058E" w:rsidP="001412E4">
            <w:pPr>
              <w:spacing w:after="0" w:line="240" w:lineRule="auto"/>
              <w:jc w:val="center"/>
            </w:pPr>
            <w:r w:rsidRPr="00C8609E">
              <w:t>A-SSE.3</w:t>
            </w:r>
          </w:p>
          <w:p w:rsidR="00BE058E" w:rsidRPr="00B30831" w:rsidRDefault="00BE058E" w:rsidP="001412E4">
            <w:pPr>
              <w:spacing w:after="0" w:line="240" w:lineRule="auto"/>
              <w:jc w:val="center"/>
            </w:pPr>
            <w:r w:rsidRPr="00B30831">
              <w:t>Modeling</w:t>
            </w:r>
          </w:p>
        </w:tc>
        <w:tc>
          <w:tcPr>
            <w:tcW w:w="1683" w:type="dxa"/>
            <w:shd w:val="clear" w:color="auto" w:fill="auto"/>
          </w:tcPr>
          <w:p w:rsidR="00BE058E" w:rsidRPr="00BE058E" w:rsidRDefault="00BE058E" w:rsidP="001412E4">
            <w:pPr>
              <w:spacing w:after="0" w:line="240" w:lineRule="auto"/>
              <w:jc w:val="center"/>
              <w:rPr>
                <w:lang w:val="de-DE"/>
              </w:rPr>
            </w:pPr>
            <w:r w:rsidRPr="00BE058E">
              <w:rPr>
                <w:lang w:val="de-DE"/>
              </w:rPr>
              <w:lastRenderedPageBreak/>
              <w:t>ABS.04.01.02.b</w:t>
            </w:r>
          </w:p>
          <w:p w:rsidR="00BE058E" w:rsidRPr="00BE058E" w:rsidRDefault="00BE058E" w:rsidP="001412E4">
            <w:pPr>
              <w:spacing w:after="0" w:line="240" w:lineRule="auto"/>
              <w:jc w:val="center"/>
              <w:rPr>
                <w:lang w:val="de-DE"/>
              </w:rPr>
            </w:pPr>
            <w:r w:rsidRPr="00BE058E">
              <w:rPr>
                <w:lang w:val="de-DE"/>
              </w:rPr>
              <w:t>ABS.06.02.01.b</w:t>
            </w:r>
          </w:p>
          <w:p w:rsidR="00BE058E" w:rsidRPr="00BE058E" w:rsidRDefault="00BE058E" w:rsidP="001412E4">
            <w:pPr>
              <w:spacing w:after="0" w:line="240" w:lineRule="auto"/>
              <w:jc w:val="center"/>
              <w:rPr>
                <w:lang w:val="de-DE"/>
              </w:rPr>
            </w:pPr>
            <w:r w:rsidRPr="00BE058E">
              <w:rPr>
                <w:lang w:val="de-DE"/>
              </w:rPr>
              <w:lastRenderedPageBreak/>
              <w:t>ABS.06.05.02.b</w:t>
            </w:r>
          </w:p>
          <w:p w:rsidR="00BE058E" w:rsidRPr="00B30831" w:rsidRDefault="00BE058E" w:rsidP="001412E4">
            <w:pPr>
              <w:spacing w:after="0" w:line="240" w:lineRule="auto"/>
              <w:jc w:val="center"/>
            </w:pPr>
            <w:r w:rsidRPr="00B30831">
              <w:t>ABS.07.02.01.b1</w:t>
            </w:r>
          </w:p>
          <w:p w:rsidR="00BE058E" w:rsidRPr="00B30831" w:rsidRDefault="00BE058E" w:rsidP="001412E4">
            <w:pPr>
              <w:spacing w:after="0" w:line="240" w:lineRule="auto"/>
              <w:jc w:val="center"/>
            </w:pPr>
            <w:r w:rsidRPr="00B30831">
              <w:t>ABS.07.02.02.b</w:t>
            </w:r>
          </w:p>
          <w:p w:rsidR="00BE058E" w:rsidRPr="00B30831" w:rsidRDefault="00BE058E" w:rsidP="001412E4">
            <w:pPr>
              <w:spacing w:after="0" w:line="240" w:lineRule="auto"/>
              <w:jc w:val="center"/>
            </w:pPr>
            <w:r w:rsidRPr="00B30831">
              <w:t>CS.03.01.03.b</w:t>
            </w:r>
          </w:p>
        </w:tc>
        <w:tc>
          <w:tcPr>
            <w:tcW w:w="800" w:type="dxa"/>
            <w:shd w:val="clear" w:color="auto" w:fill="auto"/>
          </w:tcPr>
          <w:p w:rsidR="00BE058E" w:rsidRPr="00B30831" w:rsidRDefault="00BE058E" w:rsidP="001412E4">
            <w:pPr>
              <w:spacing w:after="0" w:line="240" w:lineRule="auto"/>
              <w:jc w:val="center"/>
            </w:pPr>
            <w:r w:rsidRPr="00B30831">
              <w:lastRenderedPageBreak/>
              <w:t>4</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BE058E" w:rsidRPr="00F4163B" w:rsidRDefault="00BE058E" w:rsidP="00BE058E">
            <w:pPr>
              <w:pStyle w:val="zIndent1"/>
              <w:rPr>
                <w:rFonts w:ascii="Times New Roman" w:hAnsi="Times New Roman"/>
                <w:sz w:val="22"/>
              </w:rPr>
            </w:pPr>
            <w:r w:rsidRPr="00F4163B">
              <w:rPr>
                <w:rFonts w:ascii="Times New Roman" w:hAnsi="Times New Roman"/>
                <w:sz w:val="22"/>
              </w:rPr>
              <w:t xml:space="preserve">Each student will generate a cost analysis and marketing plan for a greenhouse. The student handout includes a scenario, or the instructor may change the activity to reflect the facts and figures from the school’s greenhouse, if desired.  </w:t>
            </w:r>
          </w:p>
          <w:p w:rsidR="00BE058E" w:rsidRPr="00F4163B" w:rsidRDefault="00BE058E" w:rsidP="00BE058E">
            <w:pPr>
              <w:pStyle w:val="zIndent1"/>
              <w:rPr>
                <w:rFonts w:ascii="Times New Roman" w:hAnsi="Times New Roman"/>
                <w:sz w:val="22"/>
              </w:rPr>
            </w:pPr>
          </w:p>
          <w:p w:rsidR="00BE058E" w:rsidRDefault="00BE058E" w:rsidP="00BE058E">
            <w:pPr>
              <w:pStyle w:val="zIndent1"/>
              <w:rPr>
                <w:rFonts w:ascii="Times New Roman" w:hAnsi="Times New Roman"/>
                <w:sz w:val="22"/>
              </w:rPr>
            </w:pPr>
            <w:r w:rsidRPr="00F4163B">
              <w:rPr>
                <w:rFonts w:ascii="Times New Roman" w:hAnsi="Times New Roman"/>
                <w:sz w:val="22"/>
              </w:rPr>
              <w:t>Assessment will be based on the overall thoroughness and accuracy of the cost analysis and marketing plan.</w:t>
            </w:r>
          </w:p>
          <w:p w:rsidR="00BE058E" w:rsidRPr="00F4163B" w:rsidRDefault="00BE058E" w:rsidP="00BE058E">
            <w:pPr>
              <w:pStyle w:val="zIndent1"/>
              <w:rPr>
                <w:rFonts w:ascii="Times New Roman" w:hAnsi="Times New Roman"/>
                <w:sz w:val="22"/>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214823" w:rsidP="00C44E14">
            <w:pPr>
              <w:spacing w:line="240" w:lineRule="auto"/>
              <w:rPr>
                <w:noProof/>
              </w:rPr>
            </w:pPr>
            <w:r>
              <w:rPr>
                <w:noProof/>
              </w:rPr>
              <w:t>1-2</w:t>
            </w:r>
          </w:p>
        </w:tc>
        <w:tc>
          <w:tcPr>
            <w:tcW w:w="12348" w:type="dxa"/>
            <w:gridSpan w:val="8"/>
          </w:tcPr>
          <w:p w:rsidR="00D2622A" w:rsidRPr="00BE058E" w:rsidRDefault="00BE058E" w:rsidP="00BE058E">
            <w:pPr>
              <w:pStyle w:val="ListParagraph"/>
              <w:numPr>
                <w:ilvl w:val="0"/>
                <w:numId w:val="20"/>
              </w:numPr>
              <w:spacing w:line="240" w:lineRule="auto"/>
            </w:pPr>
            <w:r w:rsidRPr="00BE058E">
              <w:t>Lecture, Instruction</w:t>
            </w:r>
          </w:p>
        </w:tc>
      </w:tr>
      <w:tr w:rsidR="00D2622A" w:rsidTr="00C44E14">
        <w:trPr>
          <w:trHeight w:val="359"/>
        </w:trPr>
        <w:tc>
          <w:tcPr>
            <w:tcW w:w="828" w:type="dxa"/>
          </w:tcPr>
          <w:p w:rsidR="00D2622A" w:rsidRPr="009505D0" w:rsidRDefault="00214823" w:rsidP="00C44E14">
            <w:pPr>
              <w:spacing w:line="240" w:lineRule="auto"/>
              <w:rPr>
                <w:noProof/>
              </w:rPr>
            </w:pPr>
            <w:r>
              <w:rPr>
                <w:noProof/>
              </w:rPr>
              <w:t>1-3</w:t>
            </w:r>
          </w:p>
        </w:tc>
        <w:tc>
          <w:tcPr>
            <w:tcW w:w="12348" w:type="dxa"/>
            <w:gridSpan w:val="8"/>
          </w:tcPr>
          <w:p w:rsidR="00D2622A" w:rsidRPr="00BE058E" w:rsidRDefault="00BE058E" w:rsidP="00BE058E">
            <w:pPr>
              <w:pStyle w:val="ListParagraph"/>
              <w:numPr>
                <w:ilvl w:val="0"/>
                <w:numId w:val="20"/>
              </w:numPr>
              <w:spacing w:line="240" w:lineRule="auto"/>
            </w:pPr>
            <w:r w:rsidRPr="00BE058E">
              <w:t>Student Activity</w:t>
            </w:r>
          </w:p>
        </w:tc>
      </w:tr>
      <w:tr w:rsidR="00D2622A" w:rsidTr="00C44E14">
        <w:trPr>
          <w:trHeight w:val="359"/>
        </w:trPr>
        <w:tc>
          <w:tcPr>
            <w:tcW w:w="828" w:type="dxa"/>
          </w:tcPr>
          <w:p w:rsidR="00D2622A" w:rsidRPr="009505D0" w:rsidRDefault="00D2622A" w:rsidP="00C44E14">
            <w:pPr>
              <w:spacing w:line="240" w:lineRule="auto"/>
              <w:rPr>
                <w:noProof/>
              </w:rPr>
            </w:pPr>
          </w:p>
        </w:tc>
        <w:tc>
          <w:tcPr>
            <w:tcW w:w="12348" w:type="dxa"/>
            <w:gridSpan w:val="8"/>
          </w:tcPr>
          <w:p w:rsidR="00D2622A" w:rsidRPr="00C44E14" w:rsidRDefault="00D2622A" w:rsidP="00C44E14">
            <w:pPr>
              <w:spacing w:line="240" w:lineRule="auto"/>
              <w:rPr>
                <w:b/>
              </w:rPr>
            </w:pP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214823" w:rsidP="00C44E14">
            <w:pPr>
              <w:spacing w:line="240" w:lineRule="auto"/>
              <w:rPr>
                <w:noProof/>
              </w:rPr>
            </w:pPr>
            <w:r>
              <w:rPr>
                <w:noProof/>
              </w:rPr>
              <w:t>1-2</w:t>
            </w:r>
          </w:p>
        </w:tc>
        <w:tc>
          <w:tcPr>
            <w:tcW w:w="12348" w:type="dxa"/>
            <w:gridSpan w:val="8"/>
          </w:tcPr>
          <w:p w:rsidR="003A7E69" w:rsidRPr="00BE058E" w:rsidRDefault="00BE058E" w:rsidP="00C44E14">
            <w:pPr>
              <w:numPr>
                <w:ilvl w:val="0"/>
                <w:numId w:val="21"/>
              </w:numPr>
              <w:spacing w:after="120" w:line="240" w:lineRule="auto"/>
              <w:rPr>
                <w:rFonts w:ascii="Times New Roman" w:hAnsi="Times New Roman"/>
              </w:rPr>
            </w:pPr>
            <w:r w:rsidRPr="00F4163B">
              <w:rPr>
                <w:rFonts w:ascii="Times New Roman" w:hAnsi="Times New Roman"/>
              </w:rPr>
              <w:t xml:space="preserve">Students will </w:t>
            </w:r>
            <w:r>
              <w:rPr>
                <w:rFonts w:ascii="Times New Roman" w:hAnsi="Times New Roman"/>
              </w:rPr>
              <w:t xml:space="preserve">respond to </w:t>
            </w:r>
            <w:r w:rsidRPr="00F4163B">
              <w:rPr>
                <w:rFonts w:ascii="Times New Roman" w:hAnsi="Times New Roman"/>
              </w:rPr>
              <w:t>study questions in lessons 1 and 2.</w:t>
            </w:r>
          </w:p>
        </w:tc>
      </w:tr>
      <w:tr w:rsidR="003A7E69" w:rsidTr="00C44E14">
        <w:trPr>
          <w:trHeight w:val="466"/>
        </w:trPr>
        <w:tc>
          <w:tcPr>
            <w:tcW w:w="828" w:type="dxa"/>
          </w:tcPr>
          <w:p w:rsidR="003A7E69" w:rsidRPr="009505D0" w:rsidRDefault="00214823" w:rsidP="00C44E14">
            <w:pPr>
              <w:spacing w:line="240" w:lineRule="auto"/>
              <w:rPr>
                <w:noProof/>
              </w:rPr>
            </w:pPr>
            <w:r>
              <w:rPr>
                <w:noProof/>
              </w:rPr>
              <w:t>1-3</w:t>
            </w:r>
          </w:p>
        </w:tc>
        <w:tc>
          <w:tcPr>
            <w:tcW w:w="12348" w:type="dxa"/>
            <w:gridSpan w:val="8"/>
          </w:tcPr>
          <w:p w:rsidR="003A7E69" w:rsidRPr="00BE058E" w:rsidRDefault="00BE058E" w:rsidP="00C44E14">
            <w:pPr>
              <w:numPr>
                <w:ilvl w:val="0"/>
                <w:numId w:val="21"/>
              </w:numPr>
              <w:spacing w:after="120" w:line="240" w:lineRule="auto"/>
              <w:rPr>
                <w:rFonts w:ascii="Times New Roman" w:hAnsi="Times New Roman"/>
              </w:rPr>
            </w:pPr>
            <w:r w:rsidRPr="00F4163B">
              <w:rPr>
                <w:rFonts w:ascii="Times New Roman" w:hAnsi="Times New Roman"/>
              </w:rPr>
              <w:t>Students will complete “AS 7.1, Selecting Commercial Crops and Devising a Growing Schedule”; “AS 7.2, Cost Analysis of a Commercial Crop”; “AS 7.3, Plant Care After Harvest and During Marketing”; and “AS 7.4, Creating a Marketing Plan.”</w:t>
            </w:r>
          </w:p>
        </w:tc>
      </w:tr>
      <w:tr w:rsidR="003A7E69" w:rsidTr="00C44E14">
        <w:trPr>
          <w:trHeight w:val="466"/>
        </w:trPr>
        <w:tc>
          <w:tcPr>
            <w:tcW w:w="828" w:type="dxa"/>
          </w:tcPr>
          <w:p w:rsidR="003A7E69" w:rsidRPr="009505D0" w:rsidRDefault="003A7E69" w:rsidP="00C44E14">
            <w:pPr>
              <w:spacing w:line="240" w:lineRule="auto"/>
              <w:rPr>
                <w:noProof/>
              </w:rPr>
            </w:pPr>
          </w:p>
        </w:tc>
        <w:tc>
          <w:tcPr>
            <w:tcW w:w="12348" w:type="dxa"/>
            <w:gridSpan w:val="8"/>
          </w:tcPr>
          <w:p w:rsidR="003A7E69" w:rsidRPr="00C44E14" w:rsidRDefault="00BE058E" w:rsidP="00C44E14">
            <w:pPr>
              <w:spacing w:line="240" w:lineRule="auto"/>
              <w:rPr>
                <w:b/>
              </w:rPr>
            </w:pPr>
            <w:r w:rsidRPr="00F4163B">
              <w:rPr>
                <w:rFonts w:ascii="Times New Roman" w:hAnsi="Times New Roman"/>
              </w:rPr>
              <w:t>Additional activities that relate to the unit objective can be found under the headings “Other Activities and Strategies” and “Unit VII Activity” in the following locations: p. 400 (1) and pp. 425–427.</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214823" w:rsidRPr="00F4163B" w:rsidRDefault="00214823" w:rsidP="00214823">
            <w:pPr>
              <w:pStyle w:val="zIndent1"/>
              <w:numPr>
                <w:ilvl w:val="1"/>
                <w:numId w:val="21"/>
              </w:numPr>
              <w:tabs>
                <w:tab w:val="clear" w:pos="1080"/>
                <w:tab w:val="num" w:pos="550"/>
              </w:tabs>
              <w:ind w:left="550" w:hanging="330"/>
              <w:rPr>
                <w:rFonts w:ascii="Times New Roman" w:hAnsi="Times New Roman"/>
                <w:sz w:val="22"/>
              </w:rPr>
            </w:pPr>
            <w:r w:rsidRPr="00F4163B">
              <w:rPr>
                <w:rFonts w:ascii="Times New Roman" w:hAnsi="Times New Roman"/>
                <w:sz w:val="22"/>
              </w:rPr>
              <w:t xml:space="preserve">Ball Seed Company. Accessed January 17, 2012, from </w:t>
            </w:r>
            <w:hyperlink r:id="rId12" w:history="1">
              <w:r w:rsidRPr="00F4163B">
                <w:rPr>
                  <w:rStyle w:val="Hyperlink"/>
                  <w:rFonts w:ascii="Times New Roman" w:hAnsi="Times New Roman"/>
                  <w:sz w:val="22"/>
                </w:rPr>
                <w:t>http://www.bal</w:t>
              </w:r>
              <w:r w:rsidRPr="00F4163B">
                <w:rPr>
                  <w:rStyle w:val="Hyperlink"/>
                  <w:rFonts w:ascii="Times New Roman" w:hAnsi="Times New Roman"/>
                  <w:sz w:val="22"/>
                </w:rPr>
                <w:t>l</w:t>
              </w:r>
              <w:r w:rsidRPr="00F4163B">
                <w:rPr>
                  <w:rStyle w:val="Hyperlink"/>
                  <w:rFonts w:ascii="Times New Roman" w:hAnsi="Times New Roman"/>
                  <w:sz w:val="22"/>
                </w:rPr>
                <w:t>seed.com/</w:t>
              </w:r>
            </w:hyperlink>
            <w:r w:rsidRPr="00F4163B">
              <w:rPr>
                <w:rFonts w:ascii="Times New Roman" w:hAnsi="Times New Roman"/>
                <w:sz w:val="22"/>
              </w:rPr>
              <w:t>.</w:t>
            </w:r>
          </w:p>
          <w:p w:rsidR="00214823" w:rsidRPr="00F4163B" w:rsidRDefault="00214823" w:rsidP="00214823">
            <w:pPr>
              <w:pStyle w:val="zIndent1"/>
              <w:tabs>
                <w:tab w:val="num" w:pos="550"/>
              </w:tabs>
              <w:ind w:left="550" w:hanging="330"/>
              <w:rPr>
                <w:rFonts w:ascii="Times New Roman" w:hAnsi="Times New Roman"/>
                <w:sz w:val="22"/>
              </w:rPr>
            </w:pPr>
          </w:p>
          <w:p w:rsidR="00214823" w:rsidRPr="00F4163B" w:rsidRDefault="00214823" w:rsidP="00214823">
            <w:pPr>
              <w:pStyle w:val="zIndent1"/>
              <w:numPr>
                <w:ilvl w:val="1"/>
                <w:numId w:val="21"/>
              </w:numPr>
              <w:tabs>
                <w:tab w:val="clear" w:pos="1080"/>
                <w:tab w:val="num" w:pos="550"/>
              </w:tabs>
              <w:ind w:left="550" w:hanging="330"/>
              <w:rPr>
                <w:rFonts w:ascii="Times New Roman" w:hAnsi="Times New Roman"/>
                <w:sz w:val="22"/>
              </w:rPr>
            </w:pPr>
            <w:r w:rsidRPr="00F4163B">
              <w:rPr>
                <w:rFonts w:ascii="Times New Roman" w:hAnsi="Times New Roman"/>
                <w:sz w:val="22"/>
              </w:rPr>
              <w:t>Commercial seed and plant catalogs</w:t>
            </w:r>
          </w:p>
          <w:p w:rsidR="00214823" w:rsidRPr="00F4163B" w:rsidRDefault="00214823" w:rsidP="00214823">
            <w:pPr>
              <w:pStyle w:val="zIndent1"/>
              <w:tabs>
                <w:tab w:val="num" w:pos="550"/>
              </w:tabs>
              <w:ind w:left="550" w:hanging="330"/>
              <w:rPr>
                <w:rFonts w:ascii="Times New Roman" w:hAnsi="Times New Roman"/>
                <w:sz w:val="22"/>
              </w:rPr>
            </w:pPr>
          </w:p>
          <w:p w:rsidR="00214823" w:rsidRPr="00F4163B" w:rsidRDefault="00214823" w:rsidP="00214823">
            <w:pPr>
              <w:pStyle w:val="zIndent1"/>
              <w:numPr>
                <w:ilvl w:val="1"/>
                <w:numId w:val="21"/>
              </w:numPr>
              <w:tabs>
                <w:tab w:val="clear" w:pos="1080"/>
                <w:tab w:val="num" w:pos="550"/>
              </w:tabs>
              <w:ind w:left="550" w:hanging="330"/>
              <w:rPr>
                <w:rFonts w:ascii="Times New Roman" w:hAnsi="Times New Roman"/>
                <w:sz w:val="22"/>
              </w:rPr>
            </w:pPr>
            <w:r w:rsidRPr="00F4163B">
              <w:rPr>
                <w:rFonts w:ascii="Times New Roman" w:hAnsi="Times New Roman"/>
                <w:sz w:val="22"/>
              </w:rPr>
              <w:t xml:space="preserve">“Economics and Marketing.” </w:t>
            </w:r>
            <w:r w:rsidRPr="00F4163B">
              <w:rPr>
                <w:rFonts w:ascii="Times New Roman" w:hAnsi="Times New Roman"/>
                <w:i/>
                <w:sz w:val="22"/>
              </w:rPr>
              <w:t>The Texas Poinsettia Producers Guide</w:t>
            </w:r>
            <w:r w:rsidRPr="00F4163B">
              <w:rPr>
                <w:rFonts w:ascii="Times New Roman" w:hAnsi="Times New Roman"/>
                <w:sz w:val="22"/>
              </w:rPr>
              <w:t xml:space="preserve">. Accessed January 17, 2012, from </w:t>
            </w:r>
            <w:hyperlink r:id="rId13" w:history="1">
              <w:r w:rsidRPr="00F4163B">
                <w:rPr>
                  <w:rStyle w:val="Hyperlink"/>
                  <w:rFonts w:ascii="Times New Roman" w:hAnsi="Times New Roman"/>
                  <w:sz w:val="22"/>
                </w:rPr>
                <w:t>http://aggie-horticulture.tamu.edu/greenhouse/nursery/guides/poinsettia/econ.html</w:t>
              </w:r>
            </w:hyperlink>
            <w:r w:rsidRPr="00F4163B">
              <w:rPr>
                <w:rFonts w:ascii="Times New Roman" w:hAnsi="Times New Roman"/>
                <w:sz w:val="22"/>
              </w:rPr>
              <w:t>.</w:t>
            </w:r>
          </w:p>
          <w:p w:rsidR="00214823" w:rsidRPr="00F4163B" w:rsidRDefault="00214823" w:rsidP="00214823">
            <w:pPr>
              <w:pStyle w:val="zHeading1"/>
              <w:tabs>
                <w:tab w:val="num" w:pos="550"/>
              </w:tabs>
              <w:ind w:left="550" w:hanging="330"/>
              <w:rPr>
                <w:rFonts w:ascii="Times New Roman" w:hAnsi="Times New Roman"/>
                <w:sz w:val="22"/>
              </w:rPr>
            </w:pPr>
          </w:p>
          <w:p w:rsidR="00214823" w:rsidRPr="00F4163B" w:rsidRDefault="00214823" w:rsidP="00214823">
            <w:pPr>
              <w:numPr>
                <w:ilvl w:val="1"/>
                <w:numId w:val="21"/>
              </w:numPr>
              <w:tabs>
                <w:tab w:val="clear" w:pos="1080"/>
                <w:tab w:val="num" w:pos="550"/>
              </w:tabs>
              <w:ind w:left="550" w:hanging="330"/>
              <w:rPr>
                <w:rFonts w:ascii="Times New Roman" w:hAnsi="Times New Roman"/>
              </w:rPr>
            </w:pPr>
            <w:r w:rsidRPr="00F4163B">
              <w:rPr>
                <w:rFonts w:ascii="Times New Roman" w:hAnsi="Times New Roman"/>
                <w:i/>
              </w:rPr>
              <w:t>Greenhouse Operation and Management</w:t>
            </w:r>
            <w:r w:rsidRPr="00F4163B">
              <w:rPr>
                <w:rFonts w:ascii="Times New Roman" w:hAnsi="Times New Roman"/>
              </w:rPr>
              <w:t>. University of Missouri-Columbia, Instructional Materials Laboratory, 2002.</w:t>
            </w:r>
          </w:p>
          <w:p w:rsidR="00214823" w:rsidRPr="00F4163B" w:rsidRDefault="00214823" w:rsidP="00214823">
            <w:pPr>
              <w:pStyle w:val="zIndent1"/>
              <w:numPr>
                <w:ilvl w:val="1"/>
                <w:numId w:val="21"/>
              </w:numPr>
              <w:tabs>
                <w:tab w:val="clear" w:pos="1080"/>
                <w:tab w:val="num" w:pos="550"/>
              </w:tabs>
              <w:ind w:left="550" w:hanging="330"/>
              <w:rPr>
                <w:rFonts w:ascii="Times New Roman" w:hAnsi="Times New Roman"/>
                <w:sz w:val="22"/>
              </w:rPr>
            </w:pPr>
            <w:proofErr w:type="spellStart"/>
            <w:r w:rsidRPr="00F4163B">
              <w:rPr>
                <w:rFonts w:ascii="Times New Roman" w:hAnsi="Times New Roman"/>
                <w:sz w:val="22"/>
              </w:rPr>
              <w:t>Hummert</w:t>
            </w:r>
            <w:proofErr w:type="spellEnd"/>
            <w:r w:rsidRPr="00F4163B">
              <w:rPr>
                <w:rFonts w:ascii="Times New Roman" w:hAnsi="Times New Roman"/>
                <w:sz w:val="22"/>
              </w:rPr>
              <w:t xml:space="preserve"> International. Accessed January 17, 2012, from </w:t>
            </w:r>
            <w:hyperlink r:id="rId14" w:history="1">
              <w:r w:rsidRPr="00F4163B">
                <w:rPr>
                  <w:rStyle w:val="Hyperlink"/>
                  <w:rFonts w:ascii="Times New Roman" w:hAnsi="Times New Roman"/>
                  <w:sz w:val="22"/>
                </w:rPr>
                <w:t>http://www.hum</w:t>
              </w:r>
              <w:r w:rsidRPr="00F4163B">
                <w:rPr>
                  <w:rStyle w:val="Hyperlink"/>
                  <w:rFonts w:ascii="Times New Roman" w:hAnsi="Times New Roman"/>
                  <w:sz w:val="22"/>
                </w:rPr>
                <w:t>m</w:t>
              </w:r>
              <w:r w:rsidRPr="00F4163B">
                <w:rPr>
                  <w:rStyle w:val="Hyperlink"/>
                  <w:rFonts w:ascii="Times New Roman" w:hAnsi="Times New Roman"/>
                  <w:sz w:val="22"/>
                </w:rPr>
                <w:t>e</w:t>
              </w:r>
              <w:r w:rsidRPr="00F4163B">
                <w:rPr>
                  <w:rStyle w:val="Hyperlink"/>
                  <w:rFonts w:ascii="Times New Roman" w:hAnsi="Times New Roman"/>
                  <w:sz w:val="22"/>
                </w:rPr>
                <w:t>rt.c</w:t>
              </w:r>
              <w:r w:rsidRPr="00F4163B">
                <w:rPr>
                  <w:rStyle w:val="Hyperlink"/>
                  <w:rFonts w:ascii="Times New Roman" w:hAnsi="Times New Roman"/>
                  <w:sz w:val="22"/>
                </w:rPr>
                <w:t>o</w:t>
              </w:r>
              <w:r w:rsidRPr="00F4163B">
                <w:rPr>
                  <w:rStyle w:val="Hyperlink"/>
                  <w:rFonts w:ascii="Times New Roman" w:hAnsi="Times New Roman"/>
                  <w:sz w:val="22"/>
                </w:rPr>
                <w:t>m/</w:t>
              </w:r>
            </w:hyperlink>
            <w:r w:rsidRPr="00F4163B">
              <w:rPr>
                <w:rFonts w:ascii="Times New Roman" w:hAnsi="Times New Roman"/>
                <w:sz w:val="22"/>
              </w:rPr>
              <w:t>.</w:t>
            </w:r>
          </w:p>
          <w:p w:rsidR="00214823" w:rsidRPr="00F4163B" w:rsidRDefault="00214823" w:rsidP="00214823">
            <w:pPr>
              <w:pStyle w:val="zIndent1"/>
              <w:tabs>
                <w:tab w:val="num" w:pos="550"/>
              </w:tabs>
              <w:ind w:left="550" w:hanging="330"/>
              <w:rPr>
                <w:rFonts w:ascii="Times New Roman" w:hAnsi="Times New Roman"/>
                <w:sz w:val="22"/>
              </w:rPr>
            </w:pPr>
          </w:p>
          <w:p w:rsidR="00214823" w:rsidRPr="00F4163B" w:rsidRDefault="00214823" w:rsidP="00214823">
            <w:pPr>
              <w:pStyle w:val="zIndent1"/>
              <w:numPr>
                <w:ilvl w:val="1"/>
                <w:numId w:val="21"/>
              </w:numPr>
              <w:tabs>
                <w:tab w:val="clear" w:pos="1080"/>
                <w:tab w:val="num" w:pos="550"/>
              </w:tabs>
              <w:ind w:left="550" w:hanging="330"/>
              <w:rPr>
                <w:rFonts w:ascii="Times New Roman" w:hAnsi="Times New Roman"/>
                <w:sz w:val="22"/>
              </w:rPr>
            </w:pPr>
            <w:r w:rsidRPr="00F4163B">
              <w:rPr>
                <w:rFonts w:ascii="Times New Roman" w:hAnsi="Times New Roman"/>
                <w:i/>
                <w:sz w:val="22"/>
              </w:rPr>
              <w:t>Poinsettias</w:t>
            </w:r>
            <w:r w:rsidRPr="00F4163B">
              <w:rPr>
                <w:rFonts w:ascii="Times New Roman" w:hAnsi="Times New Roman"/>
                <w:sz w:val="22"/>
              </w:rPr>
              <w:t xml:space="preserve">. UK Cooperative Extension Service, University of Kentucky College of Agriculture. Accessed January 17, 2012, from </w:t>
            </w:r>
            <w:hyperlink r:id="rId15" w:history="1">
              <w:r w:rsidRPr="00F4163B">
                <w:rPr>
                  <w:rStyle w:val="Hyperlink"/>
                  <w:rFonts w:ascii="Times New Roman" w:hAnsi="Times New Roman"/>
                  <w:sz w:val="22"/>
                </w:rPr>
                <w:t>http://www.uky.edu/A</w:t>
              </w:r>
              <w:r w:rsidRPr="00F4163B">
                <w:rPr>
                  <w:rStyle w:val="Hyperlink"/>
                  <w:rFonts w:ascii="Times New Roman" w:hAnsi="Times New Roman"/>
                  <w:sz w:val="22"/>
                </w:rPr>
                <w:t>g</w:t>
              </w:r>
              <w:r w:rsidRPr="00F4163B">
                <w:rPr>
                  <w:rStyle w:val="Hyperlink"/>
                  <w:rFonts w:ascii="Times New Roman" w:hAnsi="Times New Roman"/>
                  <w:sz w:val="22"/>
                </w:rPr>
                <w:t>/NewCrops/introsheets/poinsettiaintro.pdf</w:t>
              </w:r>
            </w:hyperlink>
            <w:r w:rsidRPr="00F4163B">
              <w:rPr>
                <w:rFonts w:ascii="Times New Roman" w:hAnsi="Times New Roman"/>
                <w:sz w:val="22"/>
              </w:rPr>
              <w:t>.</w:t>
            </w:r>
          </w:p>
          <w:p w:rsidR="00214823" w:rsidRPr="00F4163B" w:rsidRDefault="00214823" w:rsidP="00214823">
            <w:pPr>
              <w:pStyle w:val="zIndent1"/>
              <w:tabs>
                <w:tab w:val="num" w:pos="550"/>
              </w:tabs>
              <w:ind w:left="550" w:hanging="330"/>
              <w:rPr>
                <w:rFonts w:ascii="Times New Roman" w:hAnsi="Times New Roman"/>
                <w:sz w:val="22"/>
              </w:rPr>
            </w:pPr>
          </w:p>
          <w:p w:rsidR="00214823" w:rsidRPr="00F4163B" w:rsidRDefault="00214823" w:rsidP="00214823">
            <w:pPr>
              <w:pStyle w:val="zIndent1"/>
              <w:numPr>
                <w:ilvl w:val="1"/>
                <w:numId w:val="21"/>
              </w:numPr>
              <w:tabs>
                <w:tab w:val="clear" w:pos="1080"/>
                <w:tab w:val="num" w:pos="550"/>
              </w:tabs>
              <w:ind w:left="550" w:hanging="330"/>
              <w:rPr>
                <w:rFonts w:ascii="Times New Roman" w:hAnsi="Times New Roman"/>
                <w:sz w:val="22"/>
              </w:rPr>
            </w:pPr>
            <w:proofErr w:type="spellStart"/>
            <w:r w:rsidRPr="00F4163B">
              <w:rPr>
                <w:rFonts w:ascii="Times New Roman" w:hAnsi="Times New Roman"/>
                <w:iCs/>
                <w:sz w:val="22"/>
              </w:rPr>
              <w:t>Stuppy</w:t>
            </w:r>
            <w:proofErr w:type="spellEnd"/>
            <w:r w:rsidRPr="00F4163B">
              <w:rPr>
                <w:rFonts w:ascii="Times New Roman" w:hAnsi="Times New Roman"/>
                <w:iCs/>
                <w:sz w:val="22"/>
              </w:rPr>
              <w:t>, Inc.</w:t>
            </w:r>
            <w:r w:rsidRPr="00F4163B">
              <w:rPr>
                <w:rFonts w:ascii="Times New Roman" w:hAnsi="Times New Roman"/>
                <w:sz w:val="22"/>
              </w:rPr>
              <w:t xml:space="preserve"> Accessed January 17, 2012, from </w:t>
            </w:r>
            <w:hyperlink r:id="rId16" w:history="1">
              <w:r w:rsidRPr="00F4163B">
                <w:rPr>
                  <w:rStyle w:val="Hyperlink"/>
                  <w:rFonts w:ascii="Times New Roman" w:hAnsi="Times New Roman"/>
                  <w:sz w:val="22"/>
                </w:rPr>
                <w:t>http://www</w:t>
              </w:r>
              <w:r w:rsidRPr="00F4163B">
                <w:rPr>
                  <w:rStyle w:val="Hyperlink"/>
                  <w:rFonts w:ascii="Times New Roman" w:hAnsi="Times New Roman"/>
                  <w:sz w:val="22"/>
                </w:rPr>
                <w:t>.</w:t>
              </w:r>
              <w:r w:rsidRPr="00F4163B">
                <w:rPr>
                  <w:rStyle w:val="Hyperlink"/>
                  <w:rFonts w:ascii="Times New Roman" w:hAnsi="Times New Roman"/>
                  <w:sz w:val="22"/>
                </w:rPr>
                <w:t>stuppy.c</w:t>
              </w:r>
              <w:r w:rsidRPr="00F4163B">
                <w:rPr>
                  <w:rStyle w:val="Hyperlink"/>
                  <w:rFonts w:ascii="Times New Roman" w:hAnsi="Times New Roman"/>
                  <w:sz w:val="22"/>
                </w:rPr>
                <w:t>o</w:t>
              </w:r>
              <w:r w:rsidRPr="00F4163B">
                <w:rPr>
                  <w:rStyle w:val="Hyperlink"/>
                  <w:rFonts w:ascii="Times New Roman" w:hAnsi="Times New Roman"/>
                  <w:sz w:val="22"/>
                </w:rPr>
                <w:t>m/</w:t>
              </w:r>
            </w:hyperlink>
            <w:r w:rsidRPr="00F4163B">
              <w:rPr>
                <w:rFonts w:ascii="Times New Roman" w:hAnsi="Times New Roman"/>
                <w:sz w:val="22"/>
              </w:rPr>
              <w:t>.</w:t>
            </w:r>
          </w:p>
          <w:p w:rsidR="00214823" w:rsidRPr="00F4163B" w:rsidRDefault="00214823" w:rsidP="00214823">
            <w:pPr>
              <w:pStyle w:val="zIndent1"/>
              <w:tabs>
                <w:tab w:val="num" w:pos="550"/>
              </w:tabs>
              <w:ind w:left="550" w:hanging="330"/>
              <w:rPr>
                <w:rFonts w:ascii="Times New Roman" w:hAnsi="Times New Roman"/>
                <w:sz w:val="22"/>
              </w:rPr>
            </w:pPr>
          </w:p>
          <w:p w:rsidR="00214823" w:rsidRPr="00F4163B" w:rsidRDefault="00214823" w:rsidP="00214823">
            <w:pPr>
              <w:pStyle w:val="zIndent1"/>
              <w:numPr>
                <w:ilvl w:val="1"/>
                <w:numId w:val="21"/>
              </w:numPr>
              <w:tabs>
                <w:tab w:val="clear" w:pos="1080"/>
                <w:tab w:val="num" w:pos="550"/>
              </w:tabs>
              <w:ind w:left="550" w:hanging="330"/>
              <w:rPr>
                <w:rFonts w:ascii="Times New Roman" w:hAnsi="Times New Roman"/>
                <w:sz w:val="22"/>
              </w:rPr>
            </w:pPr>
            <w:r w:rsidRPr="00F4163B">
              <w:rPr>
                <w:rFonts w:ascii="Times New Roman" w:hAnsi="Times New Roman"/>
                <w:sz w:val="22"/>
              </w:rPr>
              <w:t>Students will use additional outside sources to complete this activity.</w:t>
            </w:r>
          </w:p>
          <w:p w:rsidR="000F47EE" w:rsidRPr="00C44E14" w:rsidRDefault="000F47EE" w:rsidP="00BC4316">
            <w:pPr>
              <w:spacing w:line="240" w:lineRule="auto"/>
              <w:rPr>
                <w:b/>
              </w:rPr>
            </w:pP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7"/>
      <w:footerReference w:type="default" r:id="rId18"/>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632" w:rsidRDefault="00391632" w:rsidP="00FD5A4D">
      <w:pPr>
        <w:spacing w:after="0" w:line="240" w:lineRule="auto"/>
      </w:pPr>
      <w:r>
        <w:separator/>
      </w:r>
    </w:p>
  </w:endnote>
  <w:endnote w:type="continuationSeparator" w:id="0">
    <w:p w:rsidR="00391632" w:rsidRDefault="00391632" w:rsidP="00FD5A4D">
      <w:pPr>
        <w:spacing w:after="0" w:line="240" w:lineRule="auto"/>
      </w:pPr>
      <w:r>
        <w:continuationSeparator/>
      </w:r>
    </w:p>
  </w:endnote>
  <w:endnote w:type="continuationNotice" w:id="1">
    <w:p w:rsidR="00391632" w:rsidRDefault="003916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A37EC8">
      <w:rPr>
        <w:b/>
        <w:noProof/>
      </w:rPr>
      <w:t>2</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A37EC8">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632" w:rsidRDefault="00391632" w:rsidP="00FD5A4D">
      <w:pPr>
        <w:spacing w:after="0" w:line="240" w:lineRule="auto"/>
      </w:pPr>
      <w:r>
        <w:separator/>
      </w:r>
    </w:p>
  </w:footnote>
  <w:footnote w:type="continuationSeparator" w:id="0">
    <w:p w:rsidR="00391632" w:rsidRDefault="00391632" w:rsidP="00FD5A4D">
      <w:pPr>
        <w:spacing w:after="0" w:line="240" w:lineRule="auto"/>
      </w:pPr>
      <w:r>
        <w:continuationSeparator/>
      </w:r>
    </w:p>
  </w:footnote>
  <w:footnote w:type="continuationNotice" w:id="1">
    <w:p w:rsidR="00391632" w:rsidRDefault="003916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650FD5">
      <w:t>Greenhouse Business Management</w:t>
    </w:r>
    <w:r w:rsidR="005A0F5D">
      <w:tab/>
    </w:r>
    <w:r w:rsidR="0094250B">
      <w:t>Course</w:t>
    </w:r>
    <w:r>
      <w:t xml:space="preserve"> Code: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E322FE"/>
    <w:multiLevelType w:val="hybridMultilevel"/>
    <w:tmpl w:val="41082B7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
    <w:nsid w:val="15841455"/>
    <w:multiLevelType w:val="hybridMultilevel"/>
    <w:tmpl w:val="6CA8C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3007FA"/>
    <w:multiLevelType w:val="hybridMultilevel"/>
    <w:tmpl w:val="9F70345C"/>
    <w:lvl w:ilvl="0" w:tplc="000F0409">
      <w:start w:val="1"/>
      <w:numFmt w:val="decimal"/>
      <w:lvlText w:val="%1."/>
      <w:lvlJc w:val="left"/>
      <w:pPr>
        <w:tabs>
          <w:tab w:val="num" w:pos="360"/>
        </w:tabs>
        <w:ind w:left="360" w:hanging="360"/>
      </w:pPr>
    </w:lvl>
    <w:lvl w:ilvl="1" w:tplc="00010409">
      <w:start w:val="1"/>
      <w:numFmt w:val="bullet"/>
      <w:lvlText w:val=""/>
      <w:lvlJc w:val="left"/>
      <w:pPr>
        <w:tabs>
          <w:tab w:val="num" w:pos="1080"/>
        </w:tabs>
        <w:ind w:left="1080" w:hanging="360"/>
      </w:pPr>
      <w:rPr>
        <w:rFonts w:ascii="Symbol" w:hAnsi="Symbol" w:hint="default"/>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C0389F"/>
    <w:multiLevelType w:val="hybridMultilevel"/>
    <w:tmpl w:val="C0C02F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7"/>
  </w:num>
  <w:num w:numId="5">
    <w:abstractNumId w:val="13"/>
  </w:num>
  <w:num w:numId="6">
    <w:abstractNumId w:val="5"/>
  </w:num>
  <w:num w:numId="7">
    <w:abstractNumId w:val="10"/>
  </w:num>
  <w:num w:numId="8">
    <w:abstractNumId w:val="19"/>
  </w:num>
  <w:num w:numId="9">
    <w:abstractNumId w:val="4"/>
  </w:num>
  <w:num w:numId="10">
    <w:abstractNumId w:val="3"/>
  </w:num>
  <w:num w:numId="11">
    <w:abstractNumId w:val="18"/>
  </w:num>
  <w:num w:numId="12">
    <w:abstractNumId w:val="9"/>
  </w:num>
  <w:num w:numId="13">
    <w:abstractNumId w:val="6"/>
  </w:num>
  <w:num w:numId="14">
    <w:abstractNumId w:val="16"/>
  </w:num>
  <w:num w:numId="15">
    <w:abstractNumId w:val="14"/>
  </w:num>
  <w:num w:numId="16">
    <w:abstractNumId w:val="11"/>
  </w:num>
  <w:num w:numId="17">
    <w:abstractNumId w:val="12"/>
  </w:num>
  <w:num w:numId="18">
    <w:abstractNumId w:val="1"/>
  </w:num>
  <w:num w:numId="19">
    <w:abstractNumId w:val="15"/>
  </w:num>
  <w:num w:numId="20">
    <w:abstractNumId w:val="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2867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23D7D"/>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14823"/>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0715"/>
    <w:rsid w:val="004633F6"/>
    <w:rsid w:val="00467E84"/>
    <w:rsid w:val="004871C5"/>
    <w:rsid w:val="004E48C1"/>
    <w:rsid w:val="004F514F"/>
    <w:rsid w:val="00522002"/>
    <w:rsid w:val="00526777"/>
    <w:rsid w:val="00574E3C"/>
    <w:rsid w:val="005940E9"/>
    <w:rsid w:val="005A0F5D"/>
    <w:rsid w:val="00621267"/>
    <w:rsid w:val="00650FD5"/>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7334"/>
    <w:rsid w:val="0094250B"/>
    <w:rsid w:val="009505D0"/>
    <w:rsid w:val="009C2B9E"/>
    <w:rsid w:val="00A33DF8"/>
    <w:rsid w:val="00A37EC8"/>
    <w:rsid w:val="00A5553E"/>
    <w:rsid w:val="00AC243F"/>
    <w:rsid w:val="00B05A7F"/>
    <w:rsid w:val="00B13A4E"/>
    <w:rsid w:val="00BB21C0"/>
    <w:rsid w:val="00BB7AD7"/>
    <w:rsid w:val="00BC09A6"/>
    <w:rsid w:val="00BC4316"/>
    <w:rsid w:val="00BE058E"/>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zIndent1">
    <w:name w:val="zIndent 1"/>
    <w:basedOn w:val="Normal"/>
    <w:rsid w:val="00BE058E"/>
    <w:pPr>
      <w:spacing w:after="0" w:line="240" w:lineRule="auto"/>
      <w:ind w:left="360"/>
    </w:pPr>
    <w:rPr>
      <w:rFonts w:ascii="Book Antiqua" w:eastAsia="Times New Roman" w:hAnsi="Book Antiqua"/>
      <w:sz w:val="24"/>
      <w:szCs w:val="20"/>
    </w:rPr>
  </w:style>
  <w:style w:type="paragraph" w:customStyle="1" w:styleId="zHeading1">
    <w:name w:val="zHeading 1"/>
    <w:basedOn w:val="Normal"/>
    <w:rsid w:val="00214823"/>
    <w:pPr>
      <w:spacing w:after="0" w:line="240" w:lineRule="auto"/>
    </w:pPr>
    <w:rPr>
      <w:rFonts w:ascii="Arial" w:eastAsia="Times New Roman" w:hAnsi="Arial"/>
      <w:b/>
      <w:sz w:val="24"/>
      <w:szCs w:val="20"/>
    </w:rPr>
  </w:style>
  <w:style w:type="character" w:styleId="Hyperlink">
    <w:name w:val="Hyperlink"/>
    <w:rsid w:val="0021482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aggie-horticulture.tamu.edu/greenhouse/nursery/guides/poinsettia/econ.html"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ballseed.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stuppy.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uky.edu/Ag/NewCrops/introsheets/poinsettiaintro.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humme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308002-CFC6-4723-BC87-9CCD0B2E7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665</Words>
  <Characters>3796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2012-03-22T17:48:00Z</cp:lastPrinted>
  <dcterms:created xsi:type="dcterms:W3CDTF">2012-06-28T20:01:00Z</dcterms:created>
  <dcterms:modified xsi:type="dcterms:W3CDTF">2012-06-28T20:05:00Z</dcterms:modified>
</cp:coreProperties>
</file>