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FF" w:rsidRDefault="008B0EFF" w:rsidP="008B0EFF">
      <w:pPr>
        <w:jc w:val="center"/>
        <w:rPr>
          <w:b/>
          <w:sz w:val="28"/>
          <w:szCs w:val="28"/>
        </w:rPr>
      </w:pPr>
    </w:p>
    <w:p w:rsidR="008B0EFF" w:rsidRPr="008B0EFF" w:rsidRDefault="008B0EFF" w:rsidP="008B0EFF">
      <w:pPr>
        <w:jc w:val="center"/>
        <w:rPr>
          <w:b/>
          <w:sz w:val="28"/>
          <w:szCs w:val="28"/>
        </w:rPr>
      </w:pPr>
      <w:r w:rsidRPr="008B0EFF">
        <w:rPr>
          <w:b/>
          <w:sz w:val="28"/>
          <w:szCs w:val="28"/>
        </w:rPr>
        <w:t xml:space="preserve">Human Development </w:t>
      </w:r>
    </w:p>
    <w:p w:rsidR="008B0EFF" w:rsidRPr="008B0EFF" w:rsidRDefault="008B0EFF" w:rsidP="008B0EFF">
      <w:pPr>
        <w:jc w:val="center"/>
        <w:rPr>
          <w:b/>
          <w:sz w:val="28"/>
          <w:szCs w:val="28"/>
        </w:rPr>
      </w:pPr>
      <w:r w:rsidRPr="008B0EFF">
        <w:rPr>
          <w:b/>
          <w:sz w:val="28"/>
          <w:szCs w:val="28"/>
        </w:rPr>
        <w:t xml:space="preserve">Unit 3 - Analyzing Effects of Life Events on Social Development </w:t>
      </w:r>
      <w:proofErr w:type="gramStart"/>
      <w:r w:rsidRPr="008B0EFF">
        <w:rPr>
          <w:b/>
          <w:sz w:val="28"/>
          <w:szCs w:val="28"/>
        </w:rPr>
        <w:t>Throughout</w:t>
      </w:r>
      <w:proofErr w:type="gramEnd"/>
      <w:r w:rsidRPr="008B0EFF">
        <w:rPr>
          <w:b/>
          <w:sz w:val="28"/>
          <w:szCs w:val="28"/>
        </w:rPr>
        <w:t xml:space="preserve"> the Lifespan</w:t>
      </w:r>
    </w:p>
    <w:p w:rsidR="008B0EFF" w:rsidRDefault="008B0EFF" w:rsidP="008B0EFF">
      <w:pPr>
        <w:spacing w:after="240"/>
        <w:jc w:val="center"/>
        <w:rPr>
          <w:b/>
          <w:sz w:val="28"/>
          <w:szCs w:val="28"/>
        </w:rPr>
      </w:pPr>
      <w:r w:rsidRPr="008B0EFF">
        <w:rPr>
          <w:b/>
          <w:sz w:val="28"/>
          <w:szCs w:val="28"/>
        </w:rPr>
        <w:t>Instructional Strategy 7 - Socialization Opportunitie</w:t>
      </w:r>
      <w:bookmarkStart w:id="0" w:name="_GoBack"/>
      <w:bookmarkEnd w:id="0"/>
      <w:r w:rsidRPr="008B0EFF">
        <w:rPr>
          <w:b/>
          <w:sz w:val="28"/>
          <w:szCs w:val="28"/>
        </w:rPr>
        <w:t>s</w:t>
      </w:r>
      <w:r w:rsidR="007B554B">
        <w:rPr>
          <w:b/>
          <w:sz w:val="28"/>
          <w:szCs w:val="28"/>
        </w:rPr>
        <w:t>,</w:t>
      </w:r>
      <w:r w:rsidRPr="008B0EFF">
        <w:rPr>
          <w:b/>
          <w:sz w:val="28"/>
          <w:szCs w:val="28"/>
        </w:rPr>
        <w:t xml:space="preserve"> Life Events</w:t>
      </w:r>
      <w:r w:rsidR="007B554B">
        <w:rPr>
          <w:b/>
          <w:sz w:val="28"/>
          <w:szCs w:val="28"/>
        </w:rPr>
        <w:t>, and the Community</w:t>
      </w:r>
    </w:p>
    <w:p w:rsidR="008B0EFF" w:rsidRDefault="008B0EFF" w:rsidP="008B0EFF">
      <w:pPr>
        <w:spacing w:after="240"/>
        <w:rPr>
          <w:noProof/>
          <w:sz w:val="28"/>
          <w:szCs w:val="28"/>
        </w:rPr>
      </w:pPr>
      <w:r>
        <w:rPr>
          <w:noProof/>
          <w:sz w:val="28"/>
          <w:szCs w:val="28"/>
        </w:rPr>
        <w:t>All ages have the need to contribute to society.  Establishing community relationshps helps fulfill societal and social needs.  Research local community social groups, classes, and volunteer opportunities specific for all life stages.  Include at least one for each age stage.</w:t>
      </w:r>
    </w:p>
    <w:tbl>
      <w:tblPr>
        <w:tblStyle w:val="TableGrid"/>
        <w:tblW w:w="0" w:type="auto"/>
        <w:tblLook w:val="04A0"/>
      </w:tblPr>
      <w:tblGrid>
        <w:gridCol w:w="4788"/>
        <w:gridCol w:w="4788"/>
      </w:tblGrid>
      <w:tr w:rsidR="008B0EFF" w:rsidTr="008B0EFF">
        <w:trPr>
          <w:trHeight w:val="647"/>
        </w:trPr>
        <w:tc>
          <w:tcPr>
            <w:tcW w:w="4788" w:type="dxa"/>
          </w:tcPr>
          <w:p w:rsidR="008B0EFF" w:rsidRPr="008B0EFF" w:rsidRDefault="008B0EFF" w:rsidP="008B0EFF">
            <w:pPr>
              <w:rPr>
                <w:b/>
              </w:rPr>
            </w:pPr>
            <w:r w:rsidRPr="008B0EFF">
              <w:rPr>
                <w:b/>
              </w:rPr>
              <w:t>Local Community Social Group, Class, or Volunteer Opportunity</w:t>
            </w:r>
          </w:p>
        </w:tc>
        <w:tc>
          <w:tcPr>
            <w:tcW w:w="4788" w:type="dxa"/>
          </w:tcPr>
          <w:p w:rsidR="008B0EFF" w:rsidRPr="008B0EFF" w:rsidRDefault="008B0EFF" w:rsidP="008B0EFF">
            <w:pPr>
              <w:jc w:val="center"/>
              <w:rPr>
                <w:b/>
              </w:rPr>
            </w:pPr>
            <w:r w:rsidRPr="008B0EFF">
              <w:rPr>
                <w:b/>
              </w:rPr>
              <w:t>Description</w:t>
            </w:r>
          </w:p>
        </w:tc>
      </w:tr>
      <w:tr w:rsidR="008B0EFF" w:rsidTr="008B0EFF">
        <w:trPr>
          <w:trHeight w:val="1160"/>
        </w:trPr>
        <w:tc>
          <w:tcPr>
            <w:tcW w:w="4788" w:type="dxa"/>
          </w:tcPr>
          <w:p w:rsidR="008B0EFF" w:rsidRDefault="008B0EFF" w:rsidP="008B0EFF"/>
        </w:tc>
        <w:tc>
          <w:tcPr>
            <w:tcW w:w="4788" w:type="dxa"/>
          </w:tcPr>
          <w:p w:rsidR="008B0EFF" w:rsidRDefault="008B0EFF" w:rsidP="008B0EFF"/>
        </w:tc>
      </w:tr>
      <w:tr w:rsidR="008B0EFF" w:rsidTr="008B0EFF">
        <w:trPr>
          <w:trHeight w:val="1160"/>
        </w:trPr>
        <w:tc>
          <w:tcPr>
            <w:tcW w:w="4788" w:type="dxa"/>
          </w:tcPr>
          <w:p w:rsidR="008B0EFF" w:rsidRDefault="008B0EFF" w:rsidP="008B0EFF"/>
        </w:tc>
        <w:tc>
          <w:tcPr>
            <w:tcW w:w="4788" w:type="dxa"/>
          </w:tcPr>
          <w:p w:rsidR="008B0EFF" w:rsidRDefault="008B0EFF" w:rsidP="008B0EFF"/>
        </w:tc>
      </w:tr>
      <w:tr w:rsidR="008B0EFF" w:rsidTr="008B0EFF">
        <w:trPr>
          <w:trHeight w:val="1070"/>
        </w:trPr>
        <w:tc>
          <w:tcPr>
            <w:tcW w:w="4788" w:type="dxa"/>
          </w:tcPr>
          <w:p w:rsidR="008B0EFF" w:rsidRDefault="008B0EFF" w:rsidP="008B0EFF"/>
        </w:tc>
        <w:tc>
          <w:tcPr>
            <w:tcW w:w="4788" w:type="dxa"/>
          </w:tcPr>
          <w:p w:rsidR="008B0EFF" w:rsidRDefault="008B0EFF" w:rsidP="008B0EFF"/>
        </w:tc>
      </w:tr>
      <w:tr w:rsidR="008B0EFF" w:rsidTr="008B0EFF">
        <w:trPr>
          <w:trHeight w:val="1070"/>
        </w:trPr>
        <w:tc>
          <w:tcPr>
            <w:tcW w:w="4788" w:type="dxa"/>
          </w:tcPr>
          <w:p w:rsidR="008B0EFF" w:rsidRDefault="008B0EFF" w:rsidP="008B0EFF"/>
        </w:tc>
        <w:tc>
          <w:tcPr>
            <w:tcW w:w="4788" w:type="dxa"/>
          </w:tcPr>
          <w:p w:rsidR="008B0EFF" w:rsidRDefault="008B0EFF" w:rsidP="008B0EFF"/>
        </w:tc>
      </w:tr>
      <w:tr w:rsidR="008B0EFF" w:rsidTr="008B0EFF">
        <w:trPr>
          <w:trHeight w:val="1097"/>
        </w:trPr>
        <w:tc>
          <w:tcPr>
            <w:tcW w:w="4788" w:type="dxa"/>
          </w:tcPr>
          <w:p w:rsidR="008B0EFF" w:rsidRDefault="008B0EFF" w:rsidP="008B0EFF"/>
        </w:tc>
        <w:tc>
          <w:tcPr>
            <w:tcW w:w="4788" w:type="dxa"/>
          </w:tcPr>
          <w:p w:rsidR="008B0EFF" w:rsidRDefault="008B0EFF" w:rsidP="008B0EFF"/>
        </w:tc>
      </w:tr>
      <w:tr w:rsidR="008B0EFF" w:rsidTr="008B0EFF">
        <w:trPr>
          <w:trHeight w:val="1142"/>
        </w:trPr>
        <w:tc>
          <w:tcPr>
            <w:tcW w:w="4788" w:type="dxa"/>
          </w:tcPr>
          <w:p w:rsidR="008B0EFF" w:rsidRDefault="008B0EFF" w:rsidP="008B0EFF"/>
        </w:tc>
        <w:tc>
          <w:tcPr>
            <w:tcW w:w="4788" w:type="dxa"/>
          </w:tcPr>
          <w:p w:rsidR="008B0EFF" w:rsidRDefault="008B0EFF" w:rsidP="008B0EFF"/>
        </w:tc>
      </w:tr>
      <w:tr w:rsidR="008B0EFF" w:rsidTr="008B0EFF">
        <w:trPr>
          <w:trHeight w:val="1115"/>
        </w:trPr>
        <w:tc>
          <w:tcPr>
            <w:tcW w:w="4788" w:type="dxa"/>
          </w:tcPr>
          <w:p w:rsidR="008B0EFF" w:rsidRDefault="008B0EFF" w:rsidP="008B0EFF"/>
        </w:tc>
        <w:tc>
          <w:tcPr>
            <w:tcW w:w="4788" w:type="dxa"/>
          </w:tcPr>
          <w:p w:rsidR="008B0EFF" w:rsidRDefault="008B0EFF" w:rsidP="008B0EFF"/>
        </w:tc>
      </w:tr>
    </w:tbl>
    <w:p w:rsidR="008B0EFF" w:rsidRDefault="008B0EFF" w:rsidP="008B0EFF"/>
    <w:sectPr w:rsidR="008B0EFF" w:rsidSect="00573CA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EFF" w:rsidRDefault="008B0EFF" w:rsidP="008B0EFF">
      <w:pPr>
        <w:spacing w:line="240" w:lineRule="auto"/>
      </w:pPr>
      <w:r>
        <w:separator/>
      </w:r>
    </w:p>
  </w:endnote>
  <w:endnote w:type="continuationSeparator" w:id="0">
    <w:p w:rsidR="008B0EFF" w:rsidRDefault="008B0EFF" w:rsidP="008B0E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EFF" w:rsidRDefault="008B0EFF" w:rsidP="008B0EFF">
      <w:pPr>
        <w:spacing w:line="240" w:lineRule="auto"/>
      </w:pPr>
      <w:r>
        <w:separator/>
      </w:r>
    </w:p>
  </w:footnote>
  <w:footnote w:type="continuationSeparator" w:id="0">
    <w:p w:rsidR="008B0EFF" w:rsidRDefault="008B0EFF" w:rsidP="008B0E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EFF" w:rsidRDefault="008B0EFF" w:rsidP="008B0EFF">
    <w:pPr>
      <w:pStyle w:val="Header"/>
      <w:jc w:val="right"/>
    </w:pPr>
    <w:r>
      <w:t>Name: ___________________</w:t>
    </w:r>
  </w:p>
  <w:p w:rsidR="008B0EFF" w:rsidRDefault="008B0EFF" w:rsidP="008B0EFF">
    <w:pPr>
      <w:pStyle w:val="Header"/>
      <w:jc w:val="right"/>
    </w:pPr>
  </w:p>
  <w:p w:rsidR="008B0EFF" w:rsidRDefault="008B0EFF" w:rsidP="008B0EFF">
    <w:pPr>
      <w:pStyle w:val="Header"/>
    </w:pPr>
    <w:r>
      <w:tab/>
    </w:r>
    <w:r>
      <w:tab/>
      <w:t>Period:  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0EFF"/>
    <w:rsid w:val="0039647D"/>
    <w:rsid w:val="00573CAE"/>
    <w:rsid w:val="005B6D3E"/>
    <w:rsid w:val="007B554B"/>
    <w:rsid w:val="008B0EFF"/>
    <w:rsid w:val="00EC6F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EFF"/>
    <w:pPr>
      <w:spacing w:after="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EFF"/>
    <w:pPr>
      <w:tabs>
        <w:tab w:val="center" w:pos="4680"/>
        <w:tab w:val="right" w:pos="9360"/>
      </w:tabs>
      <w:spacing w:line="240" w:lineRule="auto"/>
    </w:pPr>
    <w:rPr>
      <w:sz w:val="22"/>
      <w:szCs w:val="22"/>
    </w:rPr>
  </w:style>
  <w:style w:type="character" w:customStyle="1" w:styleId="HeaderChar">
    <w:name w:val="Header Char"/>
    <w:basedOn w:val="DefaultParagraphFont"/>
    <w:link w:val="Header"/>
    <w:uiPriority w:val="99"/>
    <w:rsid w:val="008B0EFF"/>
  </w:style>
  <w:style w:type="paragraph" w:styleId="Footer">
    <w:name w:val="footer"/>
    <w:basedOn w:val="Normal"/>
    <w:link w:val="FooterChar"/>
    <w:uiPriority w:val="99"/>
    <w:unhideWhenUsed/>
    <w:rsid w:val="008B0EFF"/>
    <w:pPr>
      <w:tabs>
        <w:tab w:val="center" w:pos="4680"/>
        <w:tab w:val="right" w:pos="9360"/>
      </w:tabs>
      <w:spacing w:line="240" w:lineRule="auto"/>
    </w:pPr>
    <w:rPr>
      <w:sz w:val="22"/>
      <w:szCs w:val="22"/>
    </w:rPr>
  </w:style>
  <w:style w:type="character" w:customStyle="1" w:styleId="FooterChar">
    <w:name w:val="Footer Char"/>
    <w:basedOn w:val="DefaultParagraphFont"/>
    <w:link w:val="Footer"/>
    <w:uiPriority w:val="99"/>
    <w:rsid w:val="008B0EFF"/>
  </w:style>
  <w:style w:type="paragraph" w:styleId="BalloonText">
    <w:name w:val="Balloon Text"/>
    <w:basedOn w:val="Normal"/>
    <w:link w:val="BalloonTextChar"/>
    <w:uiPriority w:val="99"/>
    <w:semiHidden/>
    <w:unhideWhenUsed/>
    <w:rsid w:val="008B0E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EFF"/>
    <w:rPr>
      <w:rFonts w:ascii="Tahoma" w:hAnsi="Tahoma" w:cs="Tahoma"/>
      <w:sz w:val="16"/>
      <w:szCs w:val="16"/>
    </w:rPr>
  </w:style>
  <w:style w:type="table" w:styleId="TableGrid">
    <w:name w:val="Table Grid"/>
    <w:basedOn w:val="TableNormal"/>
    <w:uiPriority w:val="59"/>
    <w:rsid w:val="008B0E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EFF"/>
    <w:pPr>
      <w:spacing w:after="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EFF"/>
    <w:pPr>
      <w:tabs>
        <w:tab w:val="center" w:pos="4680"/>
        <w:tab w:val="right" w:pos="9360"/>
      </w:tabs>
      <w:spacing w:line="240" w:lineRule="auto"/>
    </w:pPr>
    <w:rPr>
      <w:sz w:val="22"/>
      <w:szCs w:val="22"/>
    </w:rPr>
  </w:style>
  <w:style w:type="character" w:customStyle="1" w:styleId="HeaderChar">
    <w:name w:val="Header Char"/>
    <w:basedOn w:val="DefaultParagraphFont"/>
    <w:link w:val="Header"/>
    <w:uiPriority w:val="99"/>
    <w:rsid w:val="008B0EFF"/>
  </w:style>
  <w:style w:type="paragraph" w:styleId="Footer">
    <w:name w:val="footer"/>
    <w:basedOn w:val="Normal"/>
    <w:link w:val="FooterChar"/>
    <w:uiPriority w:val="99"/>
    <w:unhideWhenUsed/>
    <w:rsid w:val="008B0EFF"/>
    <w:pPr>
      <w:tabs>
        <w:tab w:val="center" w:pos="4680"/>
        <w:tab w:val="right" w:pos="9360"/>
      </w:tabs>
      <w:spacing w:line="240" w:lineRule="auto"/>
    </w:pPr>
    <w:rPr>
      <w:sz w:val="22"/>
      <w:szCs w:val="22"/>
    </w:rPr>
  </w:style>
  <w:style w:type="character" w:customStyle="1" w:styleId="FooterChar">
    <w:name w:val="Footer Char"/>
    <w:basedOn w:val="DefaultParagraphFont"/>
    <w:link w:val="Footer"/>
    <w:uiPriority w:val="99"/>
    <w:rsid w:val="008B0EFF"/>
  </w:style>
  <w:style w:type="paragraph" w:styleId="BalloonText">
    <w:name w:val="Balloon Text"/>
    <w:basedOn w:val="Normal"/>
    <w:link w:val="BalloonTextChar"/>
    <w:uiPriority w:val="99"/>
    <w:semiHidden/>
    <w:unhideWhenUsed/>
    <w:rsid w:val="008B0E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EFF"/>
    <w:rPr>
      <w:rFonts w:ascii="Tahoma" w:hAnsi="Tahoma" w:cs="Tahoma"/>
      <w:sz w:val="16"/>
      <w:szCs w:val="16"/>
    </w:rPr>
  </w:style>
  <w:style w:type="table" w:styleId="TableGrid">
    <w:name w:val="Table Grid"/>
    <w:basedOn w:val="TableNormal"/>
    <w:uiPriority w:val="59"/>
    <w:rsid w:val="008B0E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84</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lherring</cp:lastModifiedBy>
  <cp:revision>3</cp:revision>
  <dcterms:created xsi:type="dcterms:W3CDTF">2013-12-02T17:08:00Z</dcterms:created>
  <dcterms:modified xsi:type="dcterms:W3CDTF">2014-01-09T17:07:00Z</dcterms:modified>
</cp:coreProperties>
</file>